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7D" w:rsidRPr="00691D3B" w:rsidRDefault="0077497D" w:rsidP="0077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77497D" w:rsidRPr="00B41056" w:rsidRDefault="0077497D" w:rsidP="00774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27.03.2020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DF0AD0" w:rsidRDefault="00DF0AD0"/>
    <w:p w:rsidR="00C20531" w:rsidRPr="00C20531" w:rsidRDefault="00C20531" w:rsidP="00C2053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C20531" w:rsidRPr="00C20531" w:rsidRDefault="00C20531" w:rsidP="00C2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205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E95F" wp14:editId="7452E16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C20531" w:rsidRPr="00C20531" w:rsidRDefault="00C20531" w:rsidP="00C2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205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C20531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2053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  точка от дневния ред</w:t>
      </w:r>
    </w:p>
    <w:p w:rsidR="00C20531" w:rsidRPr="00C20531" w:rsidRDefault="00C20531" w:rsidP="00C2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№67/27.03.2020г.</w:t>
      </w:r>
    </w:p>
    <w:p w:rsidR="00C20531" w:rsidRPr="00C20531" w:rsidRDefault="00C20531" w:rsidP="00C2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0531" w:rsidRPr="00C20531" w:rsidRDefault="00C20531" w:rsidP="00C2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bookmarkStart w:id="0" w:name="OLE_LINK24"/>
      <w:bookmarkStart w:id="1" w:name="OLE_LINK23"/>
      <w:r w:rsidRPr="00C20531">
        <w:rPr>
          <w:rFonts w:ascii="Times New Roman" w:hAnsi="Times New Roman" w:cs="Times New Roman"/>
          <w:sz w:val="24"/>
          <w:szCs w:val="24"/>
        </w:rPr>
        <w:t xml:space="preserve"> </w:t>
      </w:r>
      <w:r w:rsidRPr="00C20531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C20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20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2019</w:t>
      </w:r>
      <w:r w:rsidRPr="00C20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C20531" w:rsidRPr="00C20531" w:rsidRDefault="00C20531" w:rsidP="00C20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531">
        <w:rPr>
          <w:rFonts w:ascii="Times New Roman" w:hAnsi="Times New Roman" w:cs="Times New Roman"/>
          <w:sz w:val="24"/>
          <w:szCs w:val="24"/>
        </w:rPr>
        <w:t>На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цел,Общински съвет - Никопол</w:t>
      </w:r>
    </w:p>
    <w:p w:rsidR="00C20531" w:rsidRPr="00C20531" w:rsidRDefault="00C20531" w:rsidP="00C2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20531" w:rsidRPr="00C20531" w:rsidRDefault="00C20531" w:rsidP="00C2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31" w:rsidRPr="00C20531" w:rsidRDefault="00C20531" w:rsidP="00C20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31">
        <w:rPr>
          <w:rFonts w:ascii="Times New Roman" w:hAnsi="Times New Roman" w:cs="Times New Roman"/>
          <w:sz w:val="24"/>
          <w:szCs w:val="24"/>
        </w:rPr>
        <w:t>1.</w:t>
      </w:r>
      <w:r w:rsidRPr="00C20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- Никопол приема Годишен финансов отчет за 2019 г. на общинско търговско дружество: "МБАЛ - Никопол" ЕООД, гр. Никопол, ЕИК: 000410049.</w:t>
      </w:r>
    </w:p>
    <w:p w:rsidR="00C20531" w:rsidRPr="00C20531" w:rsidRDefault="00C20531" w:rsidP="00C20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2.Общински съвет – Никопол задължава управителя на общинското търговско дружество: "МБАЛ - Никопол" ЕООД, гр. Никопол, ЕИК: 000410049 да представя отчет на всяко тримесечие за разглеждане и приемане от Общинския съвет.</w:t>
      </w:r>
    </w:p>
    <w:p w:rsidR="00C20531" w:rsidRPr="00C20531" w:rsidRDefault="00C20531" w:rsidP="00C20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Общински съвет - Никопол задължава управителя на общинско търговско дружество "МБАЛ - Никопол" ЕООД, гр. Никопол, ЕИК: 000410049 да </w:t>
      </w:r>
      <w:r w:rsidRPr="00C20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 за обявяване в търговския регистър на Г</w:t>
      </w:r>
      <w:r w:rsidRPr="00C20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одишния финансов отчет за 2019 г. </w:t>
      </w:r>
    </w:p>
    <w:p w:rsidR="00C20531" w:rsidRPr="00C20531" w:rsidRDefault="00C20531" w:rsidP="00C20531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C20531" w:rsidRPr="00C20531" w:rsidRDefault="00C20531" w:rsidP="00C2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C20531" w:rsidRPr="00C20531" w:rsidRDefault="00C20531" w:rsidP="00C2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C20531" w:rsidRPr="00C20531" w:rsidRDefault="00C20531" w:rsidP="00C2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20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F33AB1" w:rsidRDefault="00F33AB1">
      <w:pPr>
        <w:rPr>
          <w:sz w:val="24"/>
          <w:szCs w:val="24"/>
        </w:rPr>
      </w:pPr>
    </w:p>
    <w:p w:rsidR="00F33AB1" w:rsidRPr="00A0682F" w:rsidRDefault="00F33AB1" w:rsidP="00F33A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F33AB1" w:rsidRPr="00A0682F" w:rsidRDefault="00F33AB1" w:rsidP="00F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EFD74" wp14:editId="4ADE04E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F33AB1" w:rsidRPr="00A0682F" w:rsidRDefault="00F33AB1" w:rsidP="0019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  точка от дневния ред</w:t>
      </w:r>
    </w:p>
    <w:p w:rsidR="00F33AB1" w:rsidRPr="00A0682F" w:rsidRDefault="00F33AB1" w:rsidP="00F33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№68/27.03.2020г.</w:t>
      </w:r>
    </w:p>
    <w:p w:rsidR="00F33AB1" w:rsidRPr="00A0682F" w:rsidRDefault="00F33AB1" w:rsidP="00F33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AB1" w:rsidRPr="00A0682F" w:rsidRDefault="00F33AB1" w:rsidP="00F3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A0682F">
        <w:rPr>
          <w:rFonts w:ascii="Times New Roman" w:hAnsi="Times New Roman" w:cs="Times New Roman"/>
          <w:sz w:val="24"/>
          <w:szCs w:val="24"/>
        </w:rPr>
        <w:t xml:space="preserve"> </w:t>
      </w:r>
      <w:r w:rsidRPr="00A0682F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 w:rsidRPr="00A068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Никопол" ЕООД, гр. Никопол, ЕИК: 114517172, за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2019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F33AB1" w:rsidRPr="00A0682F" w:rsidRDefault="00F33AB1" w:rsidP="00F3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3AB1" w:rsidRPr="00A0682F" w:rsidRDefault="00F33AB1" w:rsidP="00F3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2F">
        <w:rPr>
          <w:rFonts w:ascii="Times New Roman" w:hAnsi="Times New Roman" w:cs="Times New Roman"/>
          <w:sz w:val="24"/>
          <w:szCs w:val="24"/>
        </w:rPr>
        <w:t>На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Общински съвет - Никопол</w:t>
      </w:r>
    </w:p>
    <w:p w:rsidR="00F33AB1" w:rsidRPr="00A0682F" w:rsidRDefault="00F33AB1" w:rsidP="00F3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33AB1" w:rsidRPr="00A0682F" w:rsidRDefault="00F33AB1" w:rsidP="00F33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3AB1" w:rsidRPr="00A0682F" w:rsidRDefault="00F33AB1" w:rsidP="00F3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1.Общински съвет - Никопол приема Годишен финансов отчет за 2019 г. на общинско търговско дружество: "Медицински център </w:t>
      </w:r>
      <w:r w:rsidRPr="00A068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- Никопол" ЕООД, гр. Никопол, ЕИК:114517172.</w:t>
      </w:r>
    </w:p>
    <w:p w:rsidR="00F33AB1" w:rsidRPr="00A0682F" w:rsidRDefault="00F33AB1" w:rsidP="00F33A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2.Общински съвет – Никопол задължава управителя на общинското търговско дружество: "Медицински център I - Никопол" ЕООД, гр. Никопол, ЕИК:114517172 да представя отчет на всяко тримесечие за разглеждане и приемане от Общинския съвет.</w:t>
      </w:r>
    </w:p>
    <w:p w:rsidR="00F33AB1" w:rsidRPr="00A0682F" w:rsidRDefault="00F33AB1" w:rsidP="00F3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3.Общински съвет - Никопол задължава управителя на общинско търговско дружество "Медицински център I - Никопол"ЕООД, гр. Никопол, ЕИК:114517172 да </w:t>
      </w:r>
      <w:r w:rsidRPr="00A068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 за обявяване в търговския регистър на Г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одишния финансов отчет за 2019 г. </w:t>
      </w:r>
    </w:p>
    <w:p w:rsidR="00F33AB1" w:rsidRPr="00A0682F" w:rsidRDefault="00F33AB1" w:rsidP="00F3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AB1" w:rsidRPr="00A0682F" w:rsidRDefault="00F33AB1" w:rsidP="00F3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F33AB1" w:rsidRPr="00A0682F" w:rsidRDefault="00F33AB1" w:rsidP="00F3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F33AB1" w:rsidRPr="00A0682F" w:rsidRDefault="00F33AB1" w:rsidP="00F3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F33AB1" w:rsidRPr="00A0682F" w:rsidRDefault="00F33AB1">
      <w:pPr>
        <w:rPr>
          <w:rFonts w:ascii="Times New Roman" w:hAnsi="Times New Roman" w:cs="Times New Roman"/>
          <w:sz w:val="24"/>
          <w:szCs w:val="24"/>
        </w:rPr>
      </w:pPr>
    </w:p>
    <w:p w:rsidR="008D3EF5" w:rsidRPr="00A0682F" w:rsidRDefault="008D3EF5" w:rsidP="008D3E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8D3EF5" w:rsidRPr="00A0682F" w:rsidRDefault="008D3EF5" w:rsidP="008D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F3A35" wp14:editId="4018DBB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8D3EF5" w:rsidRPr="00A0682F" w:rsidRDefault="008D3EF5" w:rsidP="008D3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 точка от дневния ред</w:t>
      </w:r>
    </w:p>
    <w:p w:rsidR="008D3EF5" w:rsidRPr="00A0682F" w:rsidRDefault="008D3EF5" w:rsidP="008D3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№69/27.03.2020г.</w:t>
      </w:r>
    </w:p>
    <w:p w:rsidR="008D3EF5" w:rsidRPr="00A0682F" w:rsidRDefault="008D3EF5" w:rsidP="008D3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3EF5" w:rsidRPr="00A0682F" w:rsidRDefault="008D3EF5" w:rsidP="008D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A0682F">
        <w:rPr>
          <w:rFonts w:ascii="Times New Roman" w:hAnsi="Times New Roman" w:cs="Times New Roman"/>
          <w:sz w:val="24"/>
          <w:szCs w:val="24"/>
        </w:rPr>
        <w:t xml:space="preserve"> </w:t>
      </w:r>
      <w:r w:rsidRPr="00A0682F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"Фарма - Никопол" ЕООД, гр. Никопол, ЕИК: 114068927, за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2019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8D3EF5" w:rsidRPr="00A0682F" w:rsidRDefault="008D3EF5" w:rsidP="008D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Общински съвет – Никопол </w:t>
      </w:r>
    </w:p>
    <w:p w:rsidR="008D3EF5" w:rsidRPr="00A0682F" w:rsidRDefault="008D3EF5" w:rsidP="008D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3EF5" w:rsidRPr="00A0682F" w:rsidRDefault="008D3EF5" w:rsidP="008D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D3EF5" w:rsidRPr="00A0682F" w:rsidRDefault="008D3EF5" w:rsidP="008D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3EF5" w:rsidRPr="00A0682F" w:rsidRDefault="008D3EF5" w:rsidP="008D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1.Общински съвет - Никопол приема Годишен финансов отчет за 2019 г. на общинско търговско дружество: "Фарма - Никопол" ЕООД, гр. Никопол, ЕИК: 114068927.</w:t>
      </w:r>
    </w:p>
    <w:p w:rsidR="008D3EF5" w:rsidRPr="00A0682F" w:rsidRDefault="008D3EF5" w:rsidP="008D3E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2.Общински съвет – Никопол задължава управителя на общинското търговско дружество: "Фарма - Никопол" ЕООД, гр. Никопол, ЕИК: 114068927 да представя отчет на всяко тримесечие за разглеждане и приемане от Общинския съвет.</w:t>
      </w:r>
    </w:p>
    <w:p w:rsidR="008D3EF5" w:rsidRPr="00A0682F" w:rsidRDefault="008D3EF5" w:rsidP="008D3E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3.Общински съвет - Никопол задължава управителя на общинско търговско дружество  "Фарма - Никопол" ЕООД, гр. Никопол, ЕИК: 114068927 да </w:t>
      </w:r>
      <w:r w:rsidRPr="00A068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 за обявяване в търговския регистър на Г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одишния финансов отчет за 2019 г.  </w:t>
      </w:r>
    </w:p>
    <w:p w:rsidR="008D3EF5" w:rsidRPr="00A0682F" w:rsidRDefault="008D3EF5" w:rsidP="008D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EF5" w:rsidRPr="00A0682F" w:rsidRDefault="008D3EF5" w:rsidP="008D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8D3EF5" w:rsidRPr="00A0682F" w:rsidRDefault="008D3EF5" w:rsidP="008D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8D3EF5" w:rsidRDefault="008D3EF5" w:rsidP="008D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4413A" w:rsidRPr="00A0682F" w:rsidRDefault="0064413A" w:rsidP="008D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3276" w:rsidRPr="00A0682F" w:rsidRDefault="00573276" w:rsidP="0057327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73276" w:rsidRPr="00A0682F" w:rsidRDefault="00573276" w:rsidP="0057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2F5B9" wp14:editId="30896AB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73276" w:rsidRPr="00A0682F" w:rsidRDefault="00573276" w:rsidP="00573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 точка от дневния ред</w:t>
      </w:r>
    </w:p>
    <w:p w:rsidR="00573276" w:rsidRPr="00A0682F" w:rsidRDefault="00573276" w:rsidP="00573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№70/27.03.2020г.</w:t>
      </w:r>
    </w:p>
    <w:p w:rsidR="00573276" w:rsidRPr="00A0682F" w:rsidRDefault="00573276" w:rsidP="00573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3276" w:rsidRPr="00A0682F" w:rsidRDefault="00573276" w:rsidP="0057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A0682F">
        <w:rPr>
          <w:rFonts w:ascii="Times New Roman" w:hAnsi="Times New Roman" w:cs="Times New Roman"/>
          <w:sz w:val="24"/>
          <w:szCs w:val="24"/>
        </w:rPr>
        <w:t xml:space="preserve"> </w:t>
      </w:r>
      <w:r w:rsidRPr="00A0682F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Годишния финансов отчет /ГФО/ на общинско търговско дружество "Пристанище Никопол" ЕООД, гр. Никопол, ЕИК: 200179982, за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2019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573276" w:rsidRPr="00A0682F" w:rsidRDefault="00573276" w:rsidP="0057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ЗМСМА, чл.  137, ал. 1, т. 3 от Търговския закон и чл. 2, ал. 1, т. 16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Общински съвет – Никопол </w:t>
      </w:r>
    </w:p>
    <w:p w:rsidR="00573276" w:rsidRPr="00A0682F" w:rsidRDefault="00573276" w:rsidP="0057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276" w:rsidRPr="00A0682F" w:rsidRDefault="00573276" w:rsidP="0057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73276" w:rsidRPr="00A0682F" w:rsidRDefault="00573276" w:rsidP="0057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3276" w:rsidRPr="00A0682F" w:rsidRDefault="00573276" w:rsidP="0057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1.Общински съвет - Никопол приема Годишен финансов отчет за 2019 г. на общинско търговско дружество: "Пристанище Никопол" ЕООД, гр. Никопол, ЕИК: 200179982.</w:t>
      </w:r>
    </w:p>
    <w:p w:rsidR="00573276" w:rsidRPr="00A0682F" w:rsidRDefault="00573276" w:rsidP="005732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2.Общински съвет – Никопол задължава управителя на общинското търговско дружество: "Пристанище Никопол" ЕООД, гр. Никопол, ЕИК: 200179982  да представя отчет на всяко тримесечие за разглеждане и приемане от Общинския съвет.</w:t>
      </w:r>
    </w:p>
    <w:p w:rsidR="00573276" w:rsidRPr="00A0682F" w:rsidRDefault="00573276" w:rsidP="005732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3.Общински съвет - Никопол задължава управителя на общинско търговско дружество "Пристанище Никопол" ЕООД, гр. Никопол, ЕИК: 200179982  да </w:t>
      </w:r>
      <w:r w:rsidRPr="00A068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 за обявяване в търговския регистър на Г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одишния финансов отчет за 2019 г. </w:t>
      </w:r>
    </w:p>
    <w:p w:rsidR="00573276" w:rsidRPr="00A0682F" w:rsidRDefault="00573276" w:rsidP="0057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76" w:rsidRPr="00A0682F" w:rsidRDefault="00573276" w:rsidP="00573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573276" w:rsidRPr="00A0682F" w:rsidRDefault="00573276" w:rsidP="00573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F33AB1" w:rsidRDefault="00573276" w:rsidP="00DD0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DD0E10" w:rsidRPr="00DD0E10" w:rsidRDefault="00DD0E10" w:rsidP="00DD0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822F7" w:rsidRPr="00A0682F" w:rsidRDefault="007822F7" w:rsidP="007822F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7822F7" w:rsidRPr="00A0682F" w:rsidRDefault="007822F7" w:rsidP="0078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EA96C" wp14:editId="6D4652A6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7822F7" w:rsidRPr="00A0682F" w:rsidRDefault="007822F7" w:rsidP="00782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22F7" w:rsidRPr="00A0682F" w:rsidRDefault="007822F7" w:rsidP="0078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7822F7" w:rsidRPr="00A0682F" w:rsidRDefault="007822F7" w:rsidP="0078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A0682F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7822F7" w:rsidRPr="00A0682F" w:rsidRDefault="007822F7" w:rsidP="0078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7822F7" w:rsidRPr="00A0682F" w:rsidRDefault="007822F7" w:rsidP="00DD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 точка от дневния ред</w:t>
      </w:r>
    </w:p>
    <w:p w:rsidR="007822F7" w:rsidRPr="00A0682F" w:rsidRDefault="007822F7" w:rsidP="00782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822F7" w:rsidRPr="00A0682F" w:rsidRDefault="007822F7" w:rsidP="00782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7822F7" w:rsidRPr="00A0682F" w:rsidRDefault="007822F7" w:rsidP="0078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№71/27.03.2020г.</w:t>
      </w:r>
    </w:p>
    <w:p w:rsidR="007822F7" w:rsidRPr="00A0682F" w:rsidRDefault="007822F7" w:rsidP="00782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22F7" w:rsidRPr="00A0682F" w:rsidRDefault="007822F7" w:rsidP="00DD0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A0682F">
        <w:rPr>
          <w:rFonts w:ascii="Times New Roman" w:hAnsi="Times New Roman" w:cs="Times New Roman"/>
          <w:sz w:val="24"/>
          <w:szCs w:val="24"/>
        </w:rPr>
        <w:t xml:space="preserve"> </w:t>
      </w: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чрез публично оповестен конкурс на имот с идентификатор № 51723.500.36 актуван с Акт за публична общинска собственост № 4614 от 06.03.2020г..</w:t>
      </w:r>
    </w:p>
    <w:p w:rsidR="007822F7" w:rsidRPr="00A0682F" w:rsidRDefault="007822F7" w:rsidP="00782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 21, ал. 1, т. 8 и ал. 2 от Закона за местното самоуправление и местната администрация, във връзка с чл. 14, ал. 7,  от Закона за общинска собственост и чл. 19 от Наредба № 6 за реда за придобиване, управление и разпореждане с имущество и Решение № 47/27.01.2020 г., Общински съвет - Никопол</w:t>
      </w:r>
    </w:p>
    <w:p w:rsidR="007822F7" w:rsidRPr="00A0682F" w:rsidRDefault="007822F7" w:rsidP="0078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2F7" w:rsidRPr="00A0682F" w:rsidRDefault="007822F7" w:rsidP="007822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822F7" w:rsidRPr="00A0682F" w:rsidRDefault="007822F7" w:rsidP="00DD0E1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1.Общински съвет - Никопол дава съгласие да се включи в Програма на Община Никопол за управление и разпореждане с имоти общинска собственост за 2020 година в раздел </w:t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</w:t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„Описание на имотите, които общината има намерение да предложи за предоставяне под наем, за продажба и за учредяване на ограничени вещни права“, точка: „Отдаване под наем, чрез публичен търг или публично оповестен конкурс“, под точка 6/шест/ следния имот:</w:t>
      </w:r>
      <w:r w:rsidRPr="00A06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поземлен имот  с идентификатор 51723.500.56 /петдесет и една хиляди седемстотин двадесет и три точка петстотин точка петдесет и шест/, с адрес: област Плевен, община Никопол, гр. Никопол, ул. Христо Ботев № 1, вид територия „Урбанизирана“, НТП: „За друг обществен обект, комплекс“, площ 592 кв.м. /петстотин деветдесет и два/, при съседи: 51723.500.1231, 51723.500.55, 51723.88.7. В поземления имот е разположена сграда с идентификатор: 51723.500.56.1 /петдесет и една хиляди седемстотин двадесет и три точка петстотин точка петдесет и шест точка едно/, функц. предн. „Друг вид производствена, складова, инфраструктурна сграда“, брой етажи: 1, застроена площ от 82 кв.м. /осемдесет и две/,</w:t>
      </w:r>
      <w:r w:rsidRPr="00A068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 xml:space="preserve"> </w:t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като целия имот е актуван с Акт за публична общинска собственост № 4614 от 06.03.2020 г.</w:t>
      </w:r>
    </w:p>
    <w:p w:rsidR="007822F7" w:rsidRPr="00A0682F" w:rsidRDefault="007822F7" w:rsidP="00DD0E1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2.Общински съвет - Никопол дава съгласие да се отдаде под наем чрез публичен оповестен конкурс на имота описан в точка две от настоящето решение.</w:t>
      </w:r>
    </w:p>
    <w:p w:rsidR="007822F7" w:rsidRPr="00A0682F" w:rsidRDefault="007822F7" w:rsidP="00DD0E10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3.Общински съвет - Никопол определя срока на договора да е за 10 /десет/ години при начална конкурсна цена в размер определена в Наредба за начални цени за отдаване под наем на общински обекти и терени със стопанско и административно предназначение.</w:t>
      </w:r>
    </w:p>
    <w:p w:rsidR="007822F7" w:rsidRPr="00A0682F" w:rsidRDefault="007822F7" w:rsidP="00DD0E10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068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7822F7" w:rsidRPr="00A0682F" w:rsidRDefault="007822F7" w:rsidP="0078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F7" w:rsidRPr="00A0682F" w:rsidRDefault="007822F7" w:rsidP="0078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7822F7" w:rsidRPr="00A0682F" w:rsidRDefault="007822F7" w:rsidP="0078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7822F7" w:rsidRDefault="007822F7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31CBE" w:rsidRPr="00E31CBE" w:rsidRDefault="00E31CBE" w:rsidP="00E31CB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E31CBE" w:rsidRPr="00E31CBE" w:rsidRDefault="00E31CBE" w:rsidP="00E3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31CB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0A78F" wp14:editId="63E8FB6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E31CBE" w:rsidRPr="00E31CBE" w:rsidRDefault="00E31CBE" w:rsidP="00E31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E31C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E31CBE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31C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 точка от дневния ред</w:t>
      </w: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№72/27.03.2020г.</w:t>
      </w:r>
    </w:p>
    <w:p w:rsidR="00E31CBE" w:rsidRPr="00E31CBE" w:rsidRDefault="00E31CBE" w:rsidP="00E31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E31CBE">
        <w:rPr>
          <w:rFonts w:ascii="Times New Roman" w:hAnsi="Times New Roman" w:cs="Times New Roman"/>
          <w:sz w:val="24"/>
          <w:szCs w:val="24"/>
        </w:rPr>
        <w:t xml:space="preserve"> </w:t>
      </w:r>
      <w:r w:rsidRPr="00E31C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31C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Общинска програма за закрила на детето за 2020 г., Община  Никопол.</w:t>
      </w:r>
    </w:p>
    <w:p w:rsidR="00E31CBE" w:rsidRPr="00E31CBE" w:rsidRDefault="00E31CBE" w:rsidP="00E31CB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C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21, ал. 1 т. 12 и ал.2 от Закона за местното самоуправление и местната администрация, във връзка с чл. 21, ал. 1, т. 1 от Закона за закрила на детето и чл. 3 от </w:t>
      </w:r>
      <w:r w:rsidRPr="00E31C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за прилагането на Закона за закрила на детето,</w:t>
      </w:r>
      <w:r w:rsidRPr="00E31C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Общински съвет – Никопол </w:t>
      </w:r>
    </w:p>
    <w:p w:rsidR="00E31CBE" w:rsidRPr="00E31CBE" w:rsidRDefault="00E31CBE" w:rsidP="00E31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31CBE" w:rsidRPr="00E31CBE" w:rsidRDefault="00E31CBE" w:rsidP="005C1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Общински съвет – Никопол приема Общинска програма за закрила на детето за 2020 г., Община Никопол.</w:t>
      </w:r>
    </w:p>
    <w:p w:rsidR="00E31CBE" w:rsidRPr="00E31CBE" w:rsidRDefault="00E31CBE" w:rsidP="00E31CBE">
      <w:pPr>
        <w:spacing w:after="0" w:line="240" w:lineRule="auto"/>
        <w:ind w:left="1440" w:hanging="129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Приложение:</w:t>
      </w:r>
      <w:r w:rsidRPr="00E31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31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програма за закрила на детето за 2020 г., Община Никопол – проект. </w:t>
      </w: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rPr>
          <w:sz w:val="24"/>
          <w:szCs w:val="24"/>
        </w:rPr>
      </w:pP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1C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31CBE" w:rsidRPr="00E31CBE" w:rsidRDefault="00E31CBE" w:rsidP="00E3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1AB5" w:rsidRPr="00B05A2D" w:rsidRDefault="00FB1AB5" w:rsidP="00FB1AB5">
      <w:pPr>
        <w:keepNext/>
        <w:keepLines/>
        <w:spacing w:after="368"/>
        <w:ind w:right="20" w:firstLine="708"/>
        <w:jc w:val="center"/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</w:rPr>
        <w:t xml:space="preserve">ОБЩИНСКА ПРОГРАМА ЗА ЗАКРИЛА НА ДЕТЕТО ЗА 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2020 г., 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</w:rPr>
        <w:t>ОБЩИНА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05A2D">
        <w:rPr>
          <w:rStyle w:val="2"/>
          <w:rFonts w:ascii="Times New Roman" w:eastAsiaTheme="minorHAnsi" w:hAnsi="Times New Roman" w:cs="Times New Roman"/>
          <w:b/>
          <w:bCs/>
          <w:sz w:val="24"/>
          <w:szCs w:val="24"/>
        </w:rPr>
        <w:t>НИКОПОЛ</w:t>
      </w:r>
    </w:p>
    <w:p w:rsidR="00FB1AB5" w:rsidRPr="00B05A2D" w:rsidRDefault="00FB1AB5" w:rsidP="00FB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Общинската програма за закрила на детето е разработена в съответствие с националните и международни стандарти - Конвенцията за правата на детето на Организацията на обединените нации, Закон за закрила на детето и Национална програма за закрила на детето.</w:t>
      </w:r>
    </w:p>
    <w:p w:rsidR="00FB1AB5" w:rsidRPr="00B05A2D" w:rsidRDefault="00FB1AB5" w:rsidP="00FB1AB5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Общинската програма документира волята и готовността на институциите в община Никопол за повишаване качеството на живот на децата.</w:t>
      </w:r>
    </w:p>
    <w:p w:rsidR="00FB1AB5" w:rsidRPr="00B05A2D" w:rsidRDefault="00FB1AB5" w:rsidP="00FB1AB5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Съгласно чл. 2 от Закона за закрила на детето - „Дете е всяко физическо лице до навършването на 18 години".</w:t>
      </w:r>
    </w:p>
    <w:p w:rsidR="00FB1AB5" w:rsidRPr="00B05A2D" w:rsidRDefault="00FB1AB5" w:rsidP="00FB1A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05A2D">
        <w:rPr>
          <w:rStyle w:val="22"/>
          <w:rFonts w:ascii="Times New Roman" w:eastAsiaTheme="minorHAnsi" w:hAnsi="Times New Roman" w:cs="Times New Roman"/>
          <w:sz w:val="24"/>
          <w:szCs w:val="24"/>
        </w:rPr>
        <w:t>Закрилата на детето се основава на следните принципи:</w:t>
      </w:r>
      <w:bookmarkEnd w:id="2"/>
    </w:p>
    <w:p w:rsidR="00FB1AB5" w:rsidRPr="00B05A2D" w:rsidRDefault="00FB1AB5" w:rsidP="00FB1AB5">
      <w:pPr>
        <w:spacing w:after="0" w:line="240" w:lineRule="auto"/>
        <w:ind w:left="20" w:right="-155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I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. Зачитане и уважение на личността на детето;</w:t>
      </w:r>
    </w:p>
    <w:p w:rsidR="00FB1AB5" w:rsidRPr="00B05A2D" w:rsidRDefault="00FB1AB5" w:rsidP="00FB1AB5">
      <w:pPr>
        <w:spacing w:after="0" w:line="240" w:lineRule="auto"/>
        <w:ind w:left="20" w:right="-56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II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. Отглеждане на детето в семейна среда;</w:t>
      </w:r>
    </w:p>
    <w:p w:rsidR="00FB1AB5" w:rsidRPr="00B05A2D" w:rsidRDefault="00FB1AB5" w:rsidP="00FB1AB5">
      <w:pPr>
        <w:numPr>
          <w:ilvl w:val="0"/>
          <w:numId w:val="1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Осигуряване най-добрия интерес на детето;</w:t>
      </w:r>
    </w:p>
    <w:p w:rsidR="00FB1AB5" w:rsidRPr="00B05A2D" w:rsidRDefault="00FB1AB5" w:rsidP="00FB1AB5">
      <w:pPr>
        <w:numPr>
          <w:ilvl w:val="0"/>
          <w:numId w:val="1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Специална закрила на дете в риск;</w:t>
      </w:r>
    </w:p>
    <w:p w:rsidR="00FB1AB5" w:rsidRPr="00B05A2D" w:rsidRDefault="00FB1AB5" w:rsidP="00FB1AB5">
      <w:pPr>
        <w:numPr>
          <w:ilvl w:val="0"/>
          <w:numId w:val="1"/>
        </w:numPr>
        <w:tabs>
          <w:tab w:val="left" w:pos="45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  Насърчаване на доброволното участие в дейностите по закрилата на детето;</w:t>
      </w:r>
    </w:p>
    <w:p w:rsidR="00FB1AB5" w:rsidRPr="00B05A2D" w:rsidRDefault="00FB1AB5" w:rsidP="00FB1AB5">
      <w:pPr>
        <w:numPr>
          <w:ilvl w:val="0"/>
          <w:numId w:val="1"/>
        </w:numPr>
        <w:spacing w:after="0" w:line="240" w:lineRule="auto"/>
        <w:ind w:left="20" w:right="940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:rsidR="00FB1AB5" w:rsidRPr="00B05A2D" w:rsidRDefault="00FB1AB5" w:rsidP="00FB1AB5">
      <w:pPr>
        <w:numPr>
          <w:ilvl w:val="0"/>
          <w:numId w:val="1"/>
        </w:numPr>
        <w:spacing w:after="0" w:line="240" w:lineRule="auto"/>
        <w:ind w:left="20" w:right="94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Временен характер на ограничителните мерки;</w:t>
      </w:r>
    </w:p>
    <w:p w:rsidR="00FB1AB5" w:rsidRPr="00B05A2D" w:rsidRDefault="00FB1AB5" w:rsidP="00FB1AB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0"/>
          <w:rFonts w:ascii="Times New Roman" w:eastAsiaTheme="minorHAnsi" w:hAnsi="Times New Roman" w:cs="Times New Roman"/>
          <w:sz w:val="24"/>
          <w:szCs w:val="24"/>
          <w:lang w:val="en-US"/>
        </w:rPr>
        <w:t>VIII</w:t>
      </w:r>
      <w:r w:rsidRPr="00B05A2D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Незабавност на действията по закрила на детето;</w:t>
      </w:r>
    </w:p>
    <w:p w:rsidR="00FB1AB5" w:rsidRPr="00B05A2D" w:rsidRDefault="00FB1AB5" w:rsidP="00FB1AB5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0"/>
          <w:rFonts w:ascii="Times New Roman" w:eastAsiaTheme="minorHAnsi" w:hAnsi="Times New Roman" w:cs="Times New Roman"/>
          <w:sz w:val="24"/>
          <w:szCs w:val="24"/>
          <w:lang w:val="en-US"/>
        </w:rPr>
        <w:t>I</w:t>
      </w:r>
      <w:r w:rsidRPr="00B05A2D">
        <w:rPr>
          <w:rStyle w:val="30"/>
          <w:rFonts w:ascii="Times New Roman" w:eastAsiaTheme="minorHAnsi" w:hAnsi="Times New Roman" w:cs="Times New Roman"/>
          <w:sz w:val="24"/>
          <w:szCs w:val="24"/>
        </w:rPr>
        <w:t>Х.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    Грижа в съответствие с потребностите на детето;</w:t>
      </w:r>
    </w:p>
    <w:p w:rsidR="00FB1AB5" w:rsidRPr="00B05A2D" w:rsidRDefault="00FB1AB5" w:rsidP="00FB1AB5">
      <w:pPr>
        <w:numPr>
          <w:ilvl w:val="1"/>
          <w:numId w:val="1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Осигуряване развитието на дете с изявени дарби;</w:t>
      </w:r>
    </w:p>
    <w:p w:rsidR="00FB1AB5" w:rsidRPr="00B05A2D" w:rsidRDefault="00FB1AB5" w:rsidP="00FB1AB5">
      <w:pPr>
        <w:numPr>
          <w:ilvl w:val="1"/>
          <w:numId w:val="1"/>
        </w:numPr>
        <w:spacing w:after="0" w:line="240" w:lineRule="auto"/>
        <w:ind w:left="20" w:right="340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 xml:space="preserve">Насърчаване на отговорното родителство; </w:t>
      </w:r>
    </w:p>
    <w:p w:rsidR="00FB1AB5" w:rsidRPr="00B05A2D" w:rsidRDefault="00FB1AB5" w:rsidP="00FB1AB5">
      <w:pPr>
        <w:numPr>
          <w:ilvl w:val="1"/>
          <w:numId w:val="1"/>
        </w:numPr>
        <w:spacing w:after="0" w:line="240" w:lineRule="auto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Подкрепа на семейството;</w:t>
      </w:r>
    </w:p>
    <w:p w:rsidR="00FB1AB5" w:rsidRPr="00B05A2D" w:rsidRDefault="00FB1AB5" w:rsidP="00FB1AB5">
      <w:pPr>
        <w:spacing w:after="0" w:line="240" w:lineRule="auto"/>
        <w:ind w:left="20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XIII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.   Превантивни мерки за сигурност и закрила на детето;</w:t>
      </w:r>
    </w:p>
    <w:p w:rsidR="00FB1AB5" w:rsidRPr="0003664F" w:rsidRDefault="00FB1AB5" w:rsidP="00FB1AB5">
      <w:pPr>
        <w:numPr>
          <w:ilvl w:val="0"/>
          <w:numId w:val="2"/>
        </w:numPr>
        <w:tabs>
          <w:tab w:val="left" w:pos="822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Контрол по ефективността на предприетите мерки.</w:t>
      </w:r>
    </w:p>
    <w:p w:rsidR="00FB1AB5" w:rsidRPr="0003664F" w:rsidRDefault="00FB1AB5" w:rsidP="00FB1AB5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Повишаването на благосъстоянието на детето изисква утвърждаване на разбирането и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подхода към правата на детето като правомощия и задължения на всички структури,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органи и институции, имащи отношение към детето и неговото семейство на местно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ниво и целенасочена работа във всички основни области-образование, здравеопазване, спорт и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свободно време, културни дейности, социални дейности, подкрепа на децата и семействата,</w:t>
      </w:r>
      <w:r w:rsidRPr="00B05A2D">
        <w:rPr>
          <w:rFonts w:ascii="Times New Roman" w:hAnsi="Times New Roman" w:cs="Times New Roman"/>
          <w:sz w:val="24"/>
          <w:szCs w:val="24"/>
        </w:rPr>
        <w:t xml:space="preserve"> </w:t>
      </w: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обществена среда и сигурност.</w:t>
      </w:r>
      <w:bookmarkStart w:id="3" w:name="bookmark2"/>
    </w:p>
    <w:p w:rsidR="00FB1AB5" w:rsidRPr="00B05A2D" w:rsidRDefault="00FB1AB5" w:rsidP="00FB1AB5">
      <w:pPr>
        <w:keepNext/>
        <w:keepLines/>
        <w:spacing w:after="0" w:line="240" w:lineRule="auto"/>
        <w:ind w:lef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Fonts w:ascii="Times New Roman" w:hAnsi="Times New Roman" w:cs="Times New Roman"/>
          <w:sz w:val="24"/>
          <w:szCs w:val="24"/>
        </w:rPr>
        <w:t>Основни приоритети:</w:t>
      </w:r>
      <w:bookmarkEnd w:id="3"/>
    </w:p>
    <w:p w:rsidR="00FB1AB5" w:rsidRPr="00B05A2D" w:rsidRDefault="00FB1AB5" w:rsidP="00FB1AB5">
      <w:pPr>
        <w:numPr>
          <w:ilvl w:val="3"/>
          <w:numId w:val="2"/>
        </w:numPr>
        <w:tabs>
          <w:tab w:val="clear" w:pos="2880"/>
          <w:tab w:val="num" w:pos="181"/>
          <w:tab w:val="left" w:pos="370"/>
        </w:tabs>
        <w:spacing w:after="0" w:line="240" w:lineRule="auto"/>
        <w:ind w:left="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Социална политика. Намаляване на детската бедност и създаване на условия за социално включване на децата-политики за подкрепа на детето и семейството.</w:t>
      </w:r>
    </w:p>
    <w:p w:rsidR="00FB1AB5" w:rsidRPr="00B05A2D" w:rsidRDefault="00FB1AB5" w:rsidP="00FB1AB5">
      <w:pPr>
        <w:numPr>
          <w:ilvl w:val="3"/>
          <w:numId w:val="2"/>
        </w:numPr>
        <w:tabs>
          <w:tab w:val="left" w:pos="356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Здравеопазване. Подобряване здравето на децата.</w:t>
      </w:r>
    </w:p>
    <w:p w:rsidR="00FB1AB5" w:rsidRPr="00B05A2D" w:rsidRDefault="00FB1AB5" w:rsidP="00FB1AB5">
      <w:pPr>
        <w:numPr>
          <w:ilvl w:val="3"/>
          <w:numId w:val="2"/>
        </w:numPr>
        <w:tabs>
          <w:tab w:val="clear" w:pos="2880"/>
          <w:tab w:val="left" w:pos="370"/>
          <w:tab w:val="num" w:pos="1267"/>
        </w:tabs>
        <w:spacing w:after="0" w:line="240" w:lineRule="auto"/>
        <w:ind w:left="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Образование. Осигуряване на равен достъп до качествена предучилищна подготовка и училищно образование на всички деца.</w:t>
      </w:r>
    </w:p>
    <w:p w:rsidR="00FB1AB5" w:rsidRPr="00B05A2D" w:rsidRDefault="00FB1AB5" w:rsidP="00FB1AB5">
      <w:pPr>
        <w:numPr>
          <w:ilvl w:val="3"/>
          <w:numId w:val="2"/>
        </w:numPr>
        <w:tabs>
          <w:tab w:val="left" w:pos="356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Защита на децата от всякакви форми на злоупотреба, насилие и експлоатация.</w:t>
      </w:r>
    </w:p>
    <w:p w:rsidR="00FB1AB5" w:rsidRPr="00B05A2D" w:rsidRDefault="00FB1AB5" w:rsidP="00FB1AB5">
      <w:pPr>
        <w:numPr>
          <w:ilvl w:val="3"/>
          <w:numId w:val="2"/>
        </w:numPr>
        <w:tabs>
          <w:tab w:val="left" w:pos="351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Спорт, култура, свободно време и отдих.</w:t>
      </w:r>
    </w:p>
    <w:p w:rsidR="00FB1AB5" w:rsidRPr="0003664F" w:rsidRDefault="00FB1AB5" w:rsidP="00FB1AB5">
      <w:pPr>
        <w:numPr>
          <w:ilvl w:val="3"/>
          <w:numId w:val="2"/>
        </w:numPr>
        <w:tabs>
          <w:tab w:val="left" w:pos="332"/>
        </w:tabs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Участие на децата. Информационно общество, медийно пространство.</w:t>
      </w:r>
    </w:p>
    <w:p w:rsidR="00FB1AB5" w:rsidRPr="00B05A2D" w:rsidRDefault="00FB1AB5" w:rsidP="00FB1AB5">
      <w:pPr>
        <w:spacing w:after="0" w:line="240" w:lineRule="auto"/>
        <w:ind w:left="20" w:right="400" w:firstLine="688"/>
        <w:jc w:val="both"/>
        <w:rPr>
          <w:rStyle w:val="3"/>
          <w:rFonts w:ascii="Times New Roman" w:eastAsiaTheme="minorHAnsi" w:hAnsi="Times New Roman" w:cs="Times New Roman"/>
          <w:sz w:val="24"/>
          <w:szCs w:val="24"/>
        </w:rPr>
      </w:pPr>
      <w:r w:rsidRPr="00B05A2D">
        <w:rPr>
          <w:rStyle w:val="3"/>
          <w:rFonts w:ascii="Times New Roman" w:eastAsiaTheme="minorHAnsi" w:hAnsi="Times New Roman" w:cs="Times New Roman"/>
          <w:sz w:val="24"/>
          <w:szCs w:val="24"/>
        </w:rPr>
        <w:t>Дейностите, включени в програмата са съобразени с потребностите за грижата за децата в Община Никопол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E31CBE" w:rsidRDefault="00E31CBE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</w:pPr>
    </w:p>
    <w:p w:rsidR="00F61555" w:rsidRDefault="00F61555">
      <w:pPr>
        <w:rPr>
          <w:rFonts w:ascii="Times New Roman" w:hAnsi="Times New Roman" w:cs="Times New Roman"/>
          <w:sz w:val="24"/>
          <w:szCs w:val="24"/>
        </w:rPr>
        <w:sectPr w:rsidR="00F61555" w:rsidSect="00DD0E10">
          <w:footerReference w:type="default" r:id="rId8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F61555" w:rsidRPr="006857B1" w:rsidRDefault="00F61555" w:rsidP="00F61555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bg-BG"/>
        </w:rPr>
      </w:pP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ПРОГРАМА ЗА ЗАКРИЛА НА ДЕТЕТО ЗА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val="ru-RU" w:eastAsia="bg-BG"/>
        </w:rPr>
        <w:t xml:space="preserve">2020 г.,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ОБЩИНА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НИКОПОЛ</w:t>
      </w:r>
    </w:p>
    <w:p w:rsidR="00F61555" w:rsidRPr="006857B1" w:rsidRDefault="00F61555" w:rsidP="00F61555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sz w:val="24"/>
          <w:szCs w:val="24"/>
          <w:lang w:eastAsia="bg-BG"/>
        </w:rPr>
      </w:pP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val="en-US" w:eastAsia="bg-BG"/>
        </w:rPr>
        <w:t>I</w:t>
      </w:r>
      <w:r w:rsidRPr="006857B1">
        <w:rPr>
          <w:rFonts w:ascii="Verdana" w:eastAsia="Times New Roman" w:hAnsi="Verdana" w:cs="Verdana"/>
          <w:b/>
          <w:bCs/>
          <w:sz w:val="24"/>
          <w:szCs w:val="24"/>
          <w:lang w:eastAsia="bg-BG"/>
        </w:rPr>
        <w:t>: РАВЕНСТВО НА ШАНСОВЕТЕ ЗА РАЗВИТИЕ НА ВСИЧКИ ДЕЦА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14"/>
        <w:gridCol w:w="2453"/>
        <w:gridCol w:w="1910"/>
        <w:gridCol w:w="1965"/>
      </w:tblGrid>
      <w:tr w:rsidR="00F61555" w:rsidRPr="006857B1" w:rsidTr="0003277B">
        <w:tc>
          <w:tcPr>
            <w:tcW w:w="2376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ЦЕЛИ</w:t>
            </w:r>
          </w:p>
        </w:tc>
        <w:tc>
          <w:tcPr>
            <w:tcW w:w="551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245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ОТГОВОРНИ ОРГАНИ</w:t>
            </w:r>
          </w:p>
        </w:tc>
        <w:tc>
          <w:tcPr>
            <w:tcW w:w="191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196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1284"/>
        </w:trPr>
        <w:tc>
          <w:tcPr>
            <w:tcW w:w="2376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1.1.Гарантиране на правата на всички деца.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1.1.1.Подготовка на деца за национално и международно осиновяване.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245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–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ОЗД,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</w:t>
            </w:r>
            <w:r w:rsidRPr="006857B1">
              <w:rPr>
                <w:rFonts w:ascii="Verdana" w:eastAsia="Times New Roman" w:hAnsi="Verdana" w:cs="Verdana"/>
                <w:lang w:val="en-US" w:eastAsia="bg-BG"/>
              </w:rPr>
              <w:t xml:space="preserve"> 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>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1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6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ru-RU" w:eastAsia="bg-BG"/>
              </w:rPr>
            </w:pPr>
          </w:p>
        </w:tc>
      </w:tr>
      <w:tr w:rsidR="00F61555" w:rsidRPr="006857B1" w:rsidTr="0003277B">
        <w:trPr>
          <w:trHeight w:val="1095"/>
        </w:trPr>
        <w:tc>
          <w:tcPr>
            <w:tcW w:w="2376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1.2.Гарантиране правата на децата в миграция, бежанци и непридружени деца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val="ru-RU"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1.2.1. Предприемане на мерки за закрила спрямо непридружени деца-чужди граждани, в т. ч. деца-бежанци.</w:t>
            </w:r>
          </w:p>
        </w:tc>
        <w:tc>
          <w:tcPr>
            <w:tcW w:w="245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– Никопол,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Доставчици на СУ</w:t>
            </w: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1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  <w:tc>
          <w:tcPr>
            <w:tcW w:w="196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val="en-US" w:eastAsia="bg-BG"/>
              </w:rPr>
            </w:pPr>
          </w:p>
        </w:tc>
      </w:tr>
      <w:tr w:rsidR="00F61555" w:rsidRPr="006857B1" w:rsidTr="0003277B">
        <w:trPr>
          <w:trHeight w:val="880"/>
        </w:trPr>
        <w:tc>
          <w:tcPr>
            <w:tcW w:w="2376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14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1.2.2. Прилагане на Координационния механизъм за взаимодействие между институциите и организациите за гарантиране правата на непридружените деца чужденци, пребиваващи в Р България.</w:t>
            </w:r>
          </w:p>
        </w:tc>
        <w:tc>
          <w:tcPr>
            <w:tcW w:w="245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– Никопол,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МВР-РУ гр.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1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6857B1">
        <w:rPr>
          <w:rFonts w:ascii="Verdana" w:eastAsia="Times New Roman" w:hAnsi="Verdana" w:cs="Verdana"/>
          <w:sz w:val="20"/>
          <w:szCs w:val="20"/>
          <w:lang w:eastAsia="bg-BG"/>
        </w:rPr>
        <w:tab/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II</w:t>
      </w: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 : ОСИГУРЯВАНЕ ПРАВОТО НА ДЕТЕТО НА ДОСТЪП ДО ЗДРАВЕОПАЗВАНЕ И ЗДРАВНИ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   ГРИЖИ И ЗДРАВОСЛОВЕН НАЧИН НА ЖИВОТ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387"/>
        <w:gridCol w:w="2517"/>
        <w:gridCol w:w="1977"/>
        <w:gridCol w:w="2060"/>
      </w:tblGrid>
      <w:tr w:rsidR="00F61555" w:rsidRPr="006857B1" w:rsidTr="0003277B">
        <w:tc>
          <w:tcPr>
            <w:tcW w:w="244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51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7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1105"/>
        </w:trPr>
        <w:tc>
          <w:tcPr>
            <w:tcW w:w="2445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2.1. Промотиране на здравословен начин на живот при децата и профилактика на болестите.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2.1.1 Активни действия за популяризирането на здравословното хранене като ценност, гарантираща емоционалното и физическо здраве на децата и подрастващите.</w:t>
            </w:r>
          </w:p>
        </w:tc>
        <w:tc>
          <w:tcPr>
            <w:tcW w:w="2517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ДАЗД,МЗ, МОН, АСП,  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Медицински специалисти  от училищното здравеопазване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rPr>
          <w:trHeight w:val="690"/>
        </w:trPr>
        <w:tc>
          <w:tcPr>
            <w:tcW w:w="2445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2.1.2. Организиране на седмица на здравословното хранене с провеждане на състезания сред деца и ученици за изготвяне на меню от здравословни храни.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7" w:type="dxa"/>
            <w:vMerge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  <w:vMerge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  <w:vMerge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rPr>
          <w:trHeight w:val="795"/>
        </w:trPr>
        <w:tc>
          <w:tcPr>
            <w:tcW w:w="2445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2517" w:type="dxa"/>
            <w:vMerge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  <w:vMerge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  <w:vMerge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445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2.2 Подобряване на грижите за психичното здраве на децата. </w:t>
            </w: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2.2.1. Превенция на риска за здравето и развитието при деца в ситуация на развод и раздяла на родителите чрез консултиране на родители и планиране на адекватни мерки.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НПО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7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445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2.3.Осигуряване на превантивни мерки срещу рисково сексуално поведение, ранна бременност и употреба на психо активни вещества.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2.3.1.Превенция на сексуално предавани инфекции, ХИВ/СПИН и на рисково поведение /сексуално насилие, употреба на алкохол и наркотици/ сред юношите.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2.3.2.Прилагане на единен подход при разглеждане на случаи на ранно раждане и съжителство.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2.3.3.Разширяване възможностите за включване на децата и младежите в привлекателно за тях форми за прекарване на свободното време.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2.3.4.Организиране на обучения на младежи по подхода „Връстници обучават връстници“, срещи-разговори с деца и младежи в училищна и извънучилищна среда; форуми и дискусионни срещи по проблемите, свързани с употребата на наркотични вещества и превенция на рисковото сексуално поведение.</w:t>
            </w:r>
          </w:p>
        </w:tc>
        <w:tc>
          <w:tcPr>
            <w:tcW w:w="251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РЗИ-Медицински специалисти  от училищното здравеопазване, МКБППМН, ЦОП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ДАЗД,ДСП-Никопол,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МВР-РУ гр. Никопол, 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МОН,МВР-РУ гр. Никопол,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МОН,МВР - РУ гр. Никопол, училища, читалища, МКБППМН</w:t>
            </w:r>
          </w:p>
        </w:tc>
        <w:tc>
          <w:tcPr>
            <w:tcW w:w="197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</w:tbl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6857B1">
        <w:rPr>
          <w:rFonts w:ascii="Verdana" w:eastAsia="Times New Roman" w:hAnsi="Verdana" w:cs="Verdana"/>
          <w:sz w:val="20"/>
          <w:szCs w:val="20"/>
          <w:lang w:eastAsia="bg-BG"/>
        </w:rPr>
        <w:tab/>
      </w:r>
    </w:p>
    <w:p w:rsidR="00F61555" w:rsidRPr="006857B1" w:rsidRDefault="00F61555" w:rsidP="00F61555">
      <w:pPr>
        <w:spacing w:after="0" w:line="240" w:lineRule="auto"/>
        <w:ind w:left="709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III</w:t>
      </w: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 : НАМАЛЯВАНЕ НА ДЕТСКАТА БЕДНОСТ И СЪЗДАВАНЕ НА УСЛОВИЯ ЗА СОЦИАЛНО ВКЛЮЧВАНЕ НА ДЕЦАТА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14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5027"/>
        <w:gridCol w:w="2457"/>
        <w:gridCol w:w="1905"/>
        <w:gridCol w:w="2514"/>
      </w:tblGrid>
      <w:tr w:rsidR="00F61555" w:rsidRPr="006857B1" w:rsidTr="0003277B">
        <w:trPr>
          <w:trHeight w:val="443"/>
        </w:trPr>
        <w:tc>
          <w:tcPr>
            <w:tcW w:w="2166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45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0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51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884"/>
        </w:trPr>
        <w:tc>
          <w:tcPr>
            <w:tcW w:w="2166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val="ru-RU"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3.1.</w:t>
            </w: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 xml:space="preserve"> 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>Развитие на социалните услуги за деца и подобряване на качеството и ефективността им.</w:t>
            </w:r>
          </w:p>
        </w:tc>
        <w:tc>
          <w:tcPr>
            <w:tcW w:w="502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3.1.1.Увеличаване броя на социалните услуги за деца, предоставяни в общността.</w:t>
            </w:r>
          </w:p>
        </w:tc>
        <w:tc>
          <w:tcPr>
            <w:tcW w:w="245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АСП,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Общинска администрация</w:t>
            </w:r>
          </w:p>
        </w:tc>
        <w:tc>
          <w:tcPr>
            <w:tcW w:w="190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rPr>
          <w:trHeight w:val="1136"/>
        </w:trPr>
        <w:tc>
          <w:tcPr>
            <w:tcW w:w="2166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3.1.2.Обучение на персонала от институциите и организациите, предоставящи социални услуги за деца за опасностите от употребата на психотропни активни вещества от деца.</w:t>
            </w:r>
          </w:p>
        </w:tc>
        <w:tc>
          <w:tcPr>
            <w:tcW w:w="245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Община , ЦОП – Никопол 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</w:t>
            </w:r>
          </w:p>
        </w:tc>
        <w:tc>
          <w:tcPr>
            <w:tcW w:w="190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  <w:tr w:rsidR="00F61555" w:rsidRPr="006857B1" w:rsidTr="0003277B">
        <w:trPr>
          <w:trHeight w:val="898"/>
        </w:trPr>
        <w:tc>
          <w:tcPr>
            <w:tcW w:w="2166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val="ru-RU" w:eastAsia="bg-BG"/>
              </w:rPr>
              <w:t>3.1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.3. Предоставяне на новите услуги, подкрепящи процеса по закриването на Дом за деца лишени от родителски грижи/ДЛРГ/ и </w:t>
            </w:r>
            <w:r w:rsidRPr="006857B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Дом за медико-социални грижи за деца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/ДМСГД/.</w:t>
            </w:r>
          </w:p>
        </w:tc>
        <w:tc>
          <w:tcPr>
            <w:tcW w:w="245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ДСП-Никопол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ЦОП-Никопол</w:t>
            </w:r>
          </w:p>
        </w:tc>
        <w:tc>
          <w:tcPr>
            <w:tcW w:w="190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  <w:tr w:rsidR="00F61555" w:rsidRPr="006857B1" w:rsidTr="0003277B">
        <w:trPr>
          <w:trHeight w:val="684"/>
        </w:trPr>
        <w:tc>
          <w:tcPr>
            <w:tcW w:w="2166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2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3.1.4 Предоставяне на услугата „Приемна грижа“.  </w:t>
            </w:r>
          </w:p>
        </w:tc>
        <w:tc>
          <w:tcPr>
            <w:tcW w:w="245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Община 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Никопол</w:t>
            </w:r>
          </w:p>
        </w:tc>
        <w:tc>
          <w:tcPr>
            <w:tcW w:w="190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51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 xml:space="preserve">ПРИОРИТЕТ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IV</w:t>
      </w:r>
      <w:r w:rsidRPr="006857B1">
        <w:rPr>
          <w:rFonts w:ascii="Verdana" w:eastAsia="Times New Roman" w:hAnsi="Verdana" w:cs="Verdana"/>
          <w:b/>
          <w:bCs/>
          <w:lang w:eastAsia="bg-BG"/>
        </w:rPr>
        <w:t>: РАЗВИТИЕ НА КАЧЕСТВЕНО ОБРАЗОВАНИЕ ЗА ВСИЧКИ ДЕЦА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4591"/>
        <w:gridCol w:w="2762"/>
        <w:gridCol w:w="1807"/>
        <w:gridCol w:w="2070"/>
      </w:tblGrid>
      <w:tr w:rsidR="00F61555" w:rsidRPr="006857B1" w:rsidTr="0003277B">
        <w:tc>
          <w:tcPr>
            <w:tcW w:w="276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459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76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80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7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1125"/>
        </w:trPr>
        <w:tc>
          <w:tcPr>
            <w:tcW w:w="2762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4.1.Превенция на отпадането от училище.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4.2.Приемане на Стандарти за ранно детско развитие, според изискванията на Закона за предучилищното и училищното образование.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4591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4.1.1. Изпълнение на 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 Мониторинг на изпълнението на механизма.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76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ДСП-Никопол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МВР-РУ гр.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7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В рамките на бюджета   </w:t>
            </w:r>
          </w:p>
        </w:tc>
      </w:tr>
      <w:tr w:rsidR="00F61555" w:rsidRPr="006857B1" w:rsidTr="0003277B">
        <w:trPr>
          <w:trHeight w:val="1008"/>
        </w:trPr>
        <w:tc>
          <w:tcPr>
            <w:tcW w:w="2762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4591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4.2.1. Приемане на Наредба за стандарти за ранно детско развитие.</w:t>
            </w:r>
          </w:p>
        </w:tc>
        <w:tc>
          <w:tcPr>
            <w:tcW w:w="276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Директори на училища,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ДСП / ОЗД</w:t>
            </w: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0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70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бюджет, МОН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</w:tbl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. </w:t>
      </w:r>
      <w:r w:rsidRPr="006857B1">
        <w:rPr>
          <w:rFonts w:ascii="Verdana" w:eastAsia="Times New Roman" w:hAnsi="Verdana" w:cs="Verdana"/>
          <w:b/>
          <w:bCs/>
          <w:lang w:eastAsia="bg-BG"/>
        </w:rPr>
        <w:t>ПРАВОСЪДИЕ, АДАПТИРАНО КЪМ НУЖДИТЕ НА ВСИЧКИ ДЕЦА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5387"/>
        <w:gridCol w:w="2409"/>
        <w:gridCol w:w="1985"/>
        <w:gridCol w:w="2060"/>
      </w:tblGrid>
      <w:tr w:rsidR="00F61555" w:rsidRPr="006857B1" w:rsidTr="0003277B">
        <w:tc>
          <w:tcPr>
            <w:tcW w:w="2544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40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c>
          <w:tcPr>
            <w:tcW w:w="2544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5.1.Изготвяне и приемане на законодателни промени, свързани с правосъдието на деца.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5.2.Гарнтиране на правата на децата, участници в съдебни производства.</w:t>
            </w: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5.1.1 Финализиране на проекта на Закон за отклоняване от наказателно производство и налагане на възпитателни мерки на непълнолетни лица.</w:t>
            </w:r>
          </w:p>
        </w:tc>
        <w:tc>
          <w:tcPr>
            <w:tcW w:w="240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МВР, МП,АСП,МОН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ЦКБППМН</w:t>
            </w: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544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5.2.1. 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промени.</w:t>
            </w:r>
          </w:p>
        </w:tc>
        <w:tc>
          <w:tcPr>
            <w:tcW w:w="240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Училища, МКБППМН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АСП</w:t>
            </w: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бюджет, МКБППМН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</w:tbl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VI</w:t>
      </w:r>
      <w:r w:rsidRPr="006857B1">
        <w:rPr>
          <w:rFonts w:ascii="Verdana" w:eastAsia="Times New Roman" w:hAnsi="Verdana" w:cs="Verdana"/>
          <w:b/>
          <w:bCs/>
          <w:lang w:eastAsia="bg-BG"/>
        </w:rPr>
        <w:t>. ЖИВОТ БЕЗ НАСИЛИЕ ЗА ВСИЧКИ ДЕЦА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ru-RU"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5270"/>
        <w:gridCol w:w="2251"/>
        <w:gridCol w:w="1938"/>
        <w:gridCol w:w="2060"/>
      </w:tblGrid>
      <w:tr w:rsidR="00F61555" w:rsidRPr="006857B1" w:rsidTr="0003277B">
        <w:tc>
          <w:tcPr>
            <w:tcW w:w="247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27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5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3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c>
          <w:tcPr>
            <w:tcW w:w="2473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6.1.Превенция на насилието над деца.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6.1.1.Проекти/програми за работа с деца в детски градини и училище за повишаване на знанията им за насилието, механизмите за съобщаване, правата на децата и избягване на агресия.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25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МОН-Училища  </w:t>
            </w:r>
          </w:p>
        </w:tc>
        <w:tc>
          <w:tcPr>
            <w:tcW w:w="193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473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6.1.2.  Периодично проследяване на броя на инцидентите, свързани с деца, в т. ч. и агресията.</w:t>
            </w:r>
          </w:p>
        </w:tc>
        <w:tc>
          <w:tcPr>
            <w:tcW w:w="225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МОН-Училища, ОЗД, ДАЗД</w:t>
            </w:r>
          </w:p>
        </w:tc>
        <w:tc>
          <w:tcPr>
            <w:tcW w:w="193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473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6.1.3. 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5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МВР-РУ-Никопол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МОН-Училища</w:t>
            </w:r>
          </w:p>
        </w:tc>
        <w:tc>
          <w:tcPr>
            <w:tcW w:w="193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В рамките на утвърдения бюджет</w:t>
            </w:r>
          </w:p>
        </w:tc>
      </w:tr>
      <w:tr w:rsidR="00F61555" w:rsidRPr="006857B1" w:rsidTr="0003277B">
        <w:tc>
          <w:tcPr>
            <w:tcW w:w="2473" w:type="dxa"/>
            <w:vMerge w:val="restart"/>
          </w:tcPr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6.2. Превенция на сексуалната злоупотреба с деца.</w:t>
            </w: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6.3.Превенция на случаите на злоупотреба и тормоз в училище.</w:t>
            </w: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6.4.Развитие на НТЛД 116111.</w:t>
            </w:r>
          </w:p>
        </w:tc>
        <w:tc>
          <w:tcPr>
            <w:tcW w:w="5270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6.2.1. Създаване на мерки за ефективна превенция на ранните бракове и ранните раждания при децата.</w:t>
            </w:r>
          </w:p>
        </w:tc>
        <w:tc>
          <w:tcPr>
            <w:tcW w:w="225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Община Никопол</w:t>
            </w:r>
          </w:p>
        </w:tc>
        <w:tc>
          <w:tcPr>
            <w:tcW w:w="193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473" w:type="dxa"/>
            <w:vMerge/>
          </w:tcPr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270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6.3.1. Прилагане на Механизъм за противодействие на тормоза и насилието в институциите в системата на предучилищното и училищното образование.</w:t>
            </w: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Организиране на информационни кампании за популяризиране на НТЛД по различни канали-в хода на проверки в образователни институции и услуги за деца, чрез медии, участие в конференции, регионални срещи и др.</w:t>
            </w:r>
          </w:p>
        </w:tc>
        <w:tc>
          <w:tcPr>
            <w:tcW w:w="225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АСП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НПО</w:t>
            </w:r>
          </w:p>
        </w:tc>
        <w:tc>
          <w:tcPr>
            <w:tcW w:w="193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VII</w:t>
      </w:r>
      <w:r w:rsidRPr="006857B1">
        <w:rPr>
          <w:rFonts w:ascii="Verdana" w:eastAsia="Times New Roman" w:hAnsi="Verdana" w:cs="Verdana"/>
          <w:b/>
          <w:bCs/>
          <w:lang w:eastAsia="bg-BG"/>
        </w:rPr>
        <w:t>. НАСЪРЧАВАНЕ УЧАСТИЕТО НА ДЕЦА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5143"/>
        <w:gridCol w:w="2233"/>
        <w:gridCol w:w="1929"/>
        <w:gridCol w:w="2060"/>
      </w:tblGrid>
      <w:tr w:rsidR="00F61555" w:rsidRPr="006857B1" w:rsidTr="0003277B">
        <w:tc>
          <w:tcPr>
            <w:tcW w:w="2627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14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3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2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c>
          <w:tcPr>
            <w:tcW w:w="2627" w:type="dxa"/>
            <w:vMerge w:val="restart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7.1.Разпространение на добри практики и насоки за участие на децата в сферите на образованието, правосъдието, социалната закрила, културния живот и спорта.</w:t>
            </w:r>
          </w:p>
        </w:tc>
        <w:tc>
          <w:tcPr>
            <w:tcW w:w="5143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7.1.1.Насърчаване на творческото мислене на децата с цел възрастните да чуят тяхното мнение за бързо променящия се свят.</w:t>
            </w:r>
          </w:p>
        </w:tc>
        <w:tc>
          <w:tcPr>
            <w:tcW w:w="223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Община Никопол  Училища</w:t>
            </w:r>
          </w:p>
        </w:tc>
        <w:tc>
          <w:tcPr>
            <w:tcW w:w="192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В рамките на утвърдения бюджет на отговорните институции</w:t>
            </w:r>
          </w:p>
        </w:tc>
      </w:tr>
      <w:tr w:rsidR="00F61555" w:rsidRPr="006857B1" w:rsidTr="0003277B">
        <w:tc>
          <w:tcPr>
            <w:tcW w:w="2627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143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7.1.2.Реализиране на програма „Детско полицейско управление“.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</w:p>
        </w:tc>
        <w:tc>
          <w:tcPr>
            <w:tcW w:w="2233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Община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Училища</w:t>
            </w:r>
          </w:p>
        </w:tc>
        <w:tc>
          <w:tcPr>
            <w:tcW w:w="192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2019-2020 г.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 xml:space="preserve">В рамките на утвърдения бюджет  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</w:pPr>
          </w:p>
        </w:tc>
      </w:tr>
    </w:tbl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VIII</w:t>
      </w:r>
      <w:r w:rsidRPr="006857B1">
        <w:rPr>
          <w:rFonts w:ascii="Verdana" w:eastAsia="Times New Roman" w:hAnsi="Verdana" w:cs="Verdana"/>
          <w:b/>
          <w:bCs/>
          <w:lang w:eastAsia="bg-BG"/>
        </w:rPr>
        <w:t>. СПОРТ, КУЛТУРА И ДЕЙНОСТИ ЗА СВОБОДНОТО ВРЕМЕ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528"/>
        <w:gridCol w:w="2268"/>
        <w:gridCol w:w="1985"/>
        <w:gridCol w:w="2060"/>
      </w:tblGrid>
      <w:tr w:rsidR="00F61555" w:rsidRPr="006857B1" w:rsidTr="0003277B">
        <w:tc>
          <w:tcPr>
            <w:tcW w:w="251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52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6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1741"/>
        </w:trPr>
        <w:tc>
          <w:tcPr>
            <w:tcW w:w="2518" w:type="dxa"/>
            <w:vMerge w:val="restart"/>
          </w:tcPr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8.1.Организиране на спортни инициативи с превантивни функции.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5528" w:type="dxa"/>
          </w:tcPr>
          <w:p w:rsidR="00F61555" w:rsidRPr="006857B1" w:rsidRDefault="00F61555" w:rsidP="0003277B">
            <w:pPr>
              <w:tabs>
                <w:tab w:val="left" w:pos="211"/>
                <w:tab w:val="left" w:pos="709"/>
              </w:tabs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pl-PL"/>
              </w:rPr>
            </w:pPr>
            <w:r w:rsidRPr="006857B1">
              <w:rPr>
                <w:rFonts w:ascii="Verdana" w:eastAsia="Times New Roman" w:hAnsi="Verdana" w:cs="Verdana"/>
                <w:lang w:eastAsia="pl-PL"/>
              </w:rPr>
              <w:t>8.1.1. Реализиране на Програма „Спорт за децата в риск“.</w:t>
            </w:r>
          </w:p>
        </w:tc>
        <w:tc>
          <w:tcPr>
            <w:tcW w:w="226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 </w:t>
            </w: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В рамките на утвърдения бюджет  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518" w:type="dxa"/>
            <w:vMerge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8.1.2. Насърчаване на участието на децата и учениците в извънкласни и извънучилищни дейности в областта на спорта /ученически игри.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8.1.3.Организиране и провеждане на общински, областни и републикански състезания на младежките противопожарни отряди „Млад огнеборец“.</w:t>
            </w: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8.1.4.Организиране и провеждане на общински, областен и национален етап на ученическо състезание „Защита при бедствия и аварии, пожари и извънредни ситуации“.</w:t>
            </w:r>
          </w:p>
        </w:tc>
        <w:tc>
          <w:tcPr>
            <w:tcW w:w="226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МВР-ГДПБЗН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МВР-ГДПБЗН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Училища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</w:tr>
      <w:tr w:rsidR="00F61555" w:rsidRPr="006857B1" w:rsidTr="0003277B">
        <w:tc>
          <w:tcPr>
            <w:tcW w:w="2518" w:type="dxa"/>
          </w:tcPr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8.2. Предприемане на мерки за закрила на даровитите деца.</w:t>
            </w: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8.3.Осигуряване на достъп на всички деца до културни дейности и дейности за свободното време, в т. ч. наука и техника.</w:t>
            </w:r>
          </w:p>
        </w:tc>
        <w:tc>
          <w:tcPr>
            <w:tcW w:w="5528" w:type="dxa"/>
          </w:tcPr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</w:rPr>
            </w:pPr>
            <w:r w:rsidRPr="006857B1">
              <w:rPr>
                <w:rFonts w:ascii="Verdana" w:eastAsia="Times New Roman" w:hAnsi="Verdana" w:cs="Verdana"/>
              </w:rPr>
              <w:t>8.2.1. Предоставяне на стипендии и еднократно финансово подпомагане на деца с изявени дарби от общинските и държавни училища, включително и спортните училища</w:t>
            </w:r>
            <w:r w:rsidRPr="006857B1">
              <w:rPr>
                <w:rFonts w:ascii="Verdana" w:eastAsia="Times New Roman" w:hAnsi="Verdana" w:cs="Verdana"/>
                <w:color w:val="000000"/>
              </w:rPr>
              <w:t>.</w:t>
            </w: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</w:rPr>
            </w:pPr>
          </w:p>
          <w:p w:rsidR="00F61555" w:rsidRPr="006857B1" w:rsidRDefault="00F61555" w:rsidP="00032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lang w:val="ru-RU"/>
              </w:rPr>
            </w:pPr>
            <w:r w:rsidRPr="006857B1">
              <w:rPr>
                <w:rFonts w:ascii="Verdana" w:eastAsia="Times New Roman" w:hAnsi="Verdana" w:cs="Verdana"/>
                <w:color w:val="000000"/>
              </w:rPr>
              <w:t>8.3.1.Насърчаване участието на децата и учениците в занимания по интереси в областта на науките, изкуствата, технологиите и спорта.</w:t>
            </w:r>
          </w:p>
        </w:tc>
        <w:tc>
          <w:tcPr>
            <w:tcW w:w="2268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МОН,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Община Никопол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</w:t>
            </w:r>
          </w:p>
        </w:tc>
        <w:tc>
          <w:tcPr>
            <w:tcW w:w="1985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</w:tc>
        <w:tc>
          <w:tcPr>
            <w:tcW w:w="189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 xml:space="preserve">В рамките на утвърдения бюджет </w:t>
            </w:r>
          </w:p>
        </w:tc>
      </w:tr>
    </w:tbl>
    <w:p w:rsidR="00F61555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F61555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F61555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p w:rsidR="00F61555" w:rsidRPr="006857B1" w:rsidRDefault="00F61555" w:rsidP="00F61555">
      <w:pPr>
        <w:spacing w:after="0" w:line="240" w:lineRule="auto"/>
        <w:ind w:firstLine="708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b/>
          <w:bCs/>
          <w:lang w:eastAsia="bg-BG"/>
        </w:rPr>
        <w:t>ПРИОРИТЕТ</w:t>
      </w:r>
      <w:r w:rsidRPr="006857B1">
        <w:rPr>
          <w:rFonts w:ascii="Verdana" w:eastAsia="Times New Roman" w:hAnsi="Verdana" w:cs="Verdana"/>
          <w:b/>
          <w:bCs/>
          <w:lang w:val="ru-RU" w:eastAsia="bg-BG"/>
        </w:rPr>
        <w:t xml:space="preserve"> </w:t>
      </w:r>
      <w:r w:rsidRPr="006857B1">
        <w:rPr>
          <w:rFonts w:ascii="Verdana" w:eastAsia="Times New Roman" w:hAnsi="Verdana" w:cs="Verdana"/>
          <w:b/>
          <w:bCs/>
          <w:lang w:val="en-US" w:eastAsia="bg-BG"/>
        </w:rPr>
        <w:t>IX</w:t>
      </w:r>
      <w:r w:rsidRPr="006857B1">
        <w:rPr>
          <w:rFonts w:ascii="Verdana" w:eastAsia="Times New Roman" w:hAnsi="Verdana" w:cs="Verdana"/>
          <w:b/>
          <w:bCs/>
          <w:lang w:eastAsia="bg-BG"/>
        </w:rPr>
        <w:t>. МОНИТОРИНГ И ПОДОБРЯВАНЕ НА РАБОТАТА НА СИСТЕМАТА ЗА ЗАКРИЛА НА ДЕТЕТО</w:t>
      </w: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5281"/>
        <w:gridCol w:w="2230"/>
        <w:gridCol w:w="1942"/>
        <w:gridCol w:w="2060"/>
      </w:tblGrid>
      <w:tr w:rsidR="00F61555" w:rsidRPr="006857B1" w:rsidTr="0003277B">
        <w:tc>
          <w:tcPr>
            <w:tcW w:w="247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28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3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4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795"/>
        </w:trPr>
        <w:tc>
          <w:tcPr>
            <w:tcW w:w="2479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9.1.Мониторинг и контрол на грижата за децата</w:t>
            </w:r>
          </w:p>
        </w:tc>
        <w:tc>
          <w:tcPr>
            <w:tcW w:w="5281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9.1.1.Извършване на проверки по сигнал, планови проверки и интегрирани проверки, които да доведат до подобряване качеството на грижа. Актуализиране на Наредбата за критериите и стандартите за социални услуги за деца/НКССУД/.</w:t>
            </w:r>
          </w:p>
        </w:tc>
        <w:tc>
          <w:tcPr>
            <w:tcW w:w="223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F61555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Pr="006857B1" w:rsidRDefault="00F61555" w:rsidP="00F61555">
      <w:pPr>
        <w:tabs>
          <w:tab w:val="left" w:pos="-720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val="ru-RU" w:eastAsia="bg-BG"/>
        </w:rPr>
      </w:pPr>
    </w:p>
    <w:p w:rsidR="00F61555" w:rsidRPr="006857B1" w:rsidRDefault="00F61555" w:rsidP="00F61555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  <w:r w:rsidRPr="006857B1">
        <w:rPr>
          <w:rFonts w:ascii="Verdana" w:eastAsia="Times New Roman" w:hAnsi="Verdana" w:cs="Verdana"/>
          <w:lang w:eastAsia="bg-BG"/>
        </w:rPr>
        <w:t xml:space="preserve"> </w:t>
      </w:r>
      <w:r w:rsidRPr="006857B1">
        <w:rPr>
          <w:rFonts w:ascii="Verdana" w:eastAsia="Times New Roman" w:hAnsi="Verdana" w:cs="Verdana"/>
          <w:lang w:eastAsia="bg-BG"/>
        </w:rPr>
        <w:tab/>
      </w:r>
      <w:r w:rsidRPr="006857B1">
        <w:rPr>
          <w:rFonts w:ascii="Verdana" w:eastAsia="Times New Roman" w:hAnsi="Verdana" w:cs="Verdana"/>
          <w:b/>
          <w:bCs/>
          <w:lang w:eastAsia="bg-BG"/>
        </w:rPr>
        <w:t>ПРИОРИТЕТ Х.ПРАВАТА НА ДЕЦАТА В ДИГИТАЛНАТА ЕРА И ПРЕВЕНЦИЯ НА РИСКОВЕТЕ В МРЕЖАТА</w:t>
      </w:r>
    </w:p>
    <w:p w:rsidR="00F61555" w:rsidRPr="006857B1" w:rsidRDefault="00F61555" w:rsidP="00F61555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5281"/>
        <w:gridCol w:w="2230"/>
        <w:gridCol w:w="1942"/>
        <w:gridCol w:w="2060"/>
      </w:tblGrid>
      <w:tr w:rsidR="00F61555" w:rsidRPr="006857B1" w:rsidTr="0003277B">
        <w:tc>
          <w:tcPr>
            <w:tcW w:w="2479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ЦЕЛИ</w:t>
            </w:r>
          </w:p>
        </w:tc>
        <w:tc>
          <w:tcPr>
            <w:tcW w:w="5281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ДЕЙНОСТИ</w:t>
            </w:r>
          </w:p>
        </w:tc>
        <w:tc>
          <w:tcPr>
            <w:tcW w:w="223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ОТГОВОРНИ ОРГАНИ</w:t>
            </w:r>
          </w:p>
        </w:tc>
        <w:tc>
          <w:tcPr>
            <w:tcW w:w="194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СРОК</w:t>
            </w: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b/>
                <w:bCs/>
                <w:lang w:eastAsia="bg-BG"/>
              </w:rPr>
              <w:t>ФИНАНСОВО ОСИГУРЯВАНЕ</w:t>
            </w:r>
          </w:p>
        </w:tc>
      </w:tr>
      <w:tr w:rsidR="00F61555" w:rsidRPr="006857B1" w:rsidTr="0003277B">
        <w:trPr>
          <w:trHeight w:val="795"/>
        </w:trPr>
        <w:tc>
          <w:tcPr>
            <w:tcW w:w="2479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10.1.Развитие на медийна и дигитална грамотност за деца, учители</w:t>
            </w:r>
            <w:r w:rsidRPr="006857B1">
              <w:rPr>
                <w:rFonts w:ascii="Verdana" w:eastAsia="Times New Roman" w:hAnsi="Verdana" w:cs="Verdana"/>
                <w:lang w:val="ru-RU" w:eastAsia="bg-BG"/>
              </w:rPr>
              <w:t xml:space="preserve"> </w:t>
            </w:r>
            <w:r w:rsidRPr="006857B1">
              <w:rPr>
                <w:rFonts w:ascii="Verdana" w:eastAsia="Times New Roman" w:hAnsi="Verdana" w:cs="Verdana"/>
                <w:lang w:eastAsia="bg-BG"/>
              </w:rPr>
              <w:t>и родители.</w:t>
            </w:r>
          </w:p>
        </w:tc>
        <w:tc>
          <w:tcPr>
            <w:tcW w:w="5281" w:type="dxa"/>
          </w:tcPr>
          <w:p w:rsidR="00F61555" w:rsidRPr="006857B1" w:rsidRDefault="00F61555" w:rsidP="0003277B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10.1.1.Поддържане на интернет Гореща линия за сигнали за детска порнография и онлайн сексуална експлоатация на деца към Центъра за безопасен интернет.</w:t>
            </w:r>
          </w:p>
        </w:tc>
        <w:tc>
          <w:tcPr>
            <w:tcW w:w="223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МВР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ДАЗД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МОН-Училища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1942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Постоянен</w:t>
            </w: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</w:tcPr>
          <w:p w:rsidR="00F61555" w:rsidRPr="006857B1" w:rsidRDefault="00F61555" w:rsidP="0003277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bg-BG"/>
              </w:rPr>
            </w:pPr>
            <w:r w:rsidRPr="006857B1">
              <w:rPr>
                <w:rFonts w:ascii="Verdana" w:eastAsia="Times New Roman" w:hAnsi="Verdana" w:cs="Verdana"/>
                <w:lang w:eastAsia="bg-BG"/>
              </w:rPr>
              <w:t>В рамките на утвърдения бюджет</w:t>
            </w:r>
          </w:p>
        </w:tc>
      </w:tr>
    </w:tbl>
    <w:p w:rsidR="00F61555" w:rsidRPr="006857B1" w:rsidRDefault="00F61555" w:rsidP="00F61555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Verdana"/>
          <w:b/>
          <w:bCs/>
          <w:lang w:eastAsia="bg-BG"/>
        </w:rPr>
      </w:pPr>
    </w:p>
    <w:p w:rsidR="00F61555" w:rsidRPr="006857B1" w:rsidRDefault="00F61555" w:rsidP="00F6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555" w:rsidRPr="006857B1" w:rsidRDefault="00F61555" w:rsidP="00F6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555" w:rsidRPr="006857B1" w:rsidRDefault="00F61555" w:rsidP="00F6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555" w:rsidRPr="005574BD" w:rsidRDefault="00F61555" w:rsidP="00F6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3277B" w:rsidRDefault="0003277B">
      <w:pPr>
        <w:rPr>
          <w:rFonts w:ascii="Times New Roman" w:hAnsi="Times New Roman" w:cs="Times New Roman"/>
          <w:sz w:val="24"/>
          <w:szCs w:val="24"/>
        </w:rPr>
        <w:sectPr w:rsidR="0003277B" w:rsidSect="00F61555">
          <w:pgSz w:w="16838" w:h="11906" w:orient="landscape"/>
          <w:pgMar w:top="709" w:right="425" w:bottom="426" w:left="851" w:header="709" w:footer="709" w:gutter="0"/>
          <w:cols w:space="708"/>
          <w:docGrid w:linePitch="360"/>
        </w:sectPr>
      </w:pPr>
    </w:p>
    <w:p w:rsidR="000A4BD8" w:rsidRPr="000A4BD8" w:rsidRDefault="000A4BD8" w:rsidP="000A4BD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0A4BD8" w:rsidRPr="000A4BD8" w:rsidRDefault="000A4BD8" w:rsidP="000A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A4BD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594D8" wp14:editId="6EDBE2A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eyPgIAAEMEAAAOAAAAZHJzL2Uyb0RvYy54bWysU81u1DAQviPxDpbv2yRLuu1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5h4Hs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0A4BD8" w:rsidRPr="000A4BD8" w:rsidRDefault="000A4BD8" w:rsidP="000A4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BD8" w:rsidRPr="000A4BD8" w:rsidRDefault="000A4BD8" w:rsidP="000A4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0A4BD8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:rsidR="000A4BD8" w:rsidRPr="000A4BD8" w:rsidRDefault="000A4BD8" w:rsidP="000A4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№73/27.03.2020г.</w:t>
      </w:r>
    </w:p>
    <w:p w:rsidR="000A4BD8" w:rsidRPr="000A4BD8" w:rsidRDefault="000A4BD8" w:rsidP="000A4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BD8" w:rsidRDefault="000A4BD8" w:rsidP="000A4BD8">
      <w:pPr>
        <w:keepNext/>
        <w:keepLines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0A4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0A4BD8">
        <w:rPr>
          <w:rFonts w:ascii="Times New Roman" w:hAnsi="Times New Roman" w:cs="Times New Roman"/>
          <w:sz w:val="24"/>
          <w:szCs w:val="24"/>
        </w:rPr>
        <w:t xml:space="preserve"> </w:t>
      </w:r>
      <w:r w:rsidRPr="000A4B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BD8">
        <w:rPr>
          <w:rFonts w:ascii="Times New Roman" w:eastAsia="Times New Roman" w:hAnsi="Times New Roman" w:cs="Times New Roman"/>
          <w:sz w:val="24"/>
          <w:szCs w:val="24"/>
        </w:rPr>
        <w:t>Приемане на Годишен отчет за изпълнение на Програмата за опазване на околната среда на Община Никопол,  Програма за управление на отпадъците на територията на Община Никопол и Програма за намаляване нивата на замърсителите и достигане на нормите на фини прахови частици в гр. Никопол за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0A4BD8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0A4BD8" w:rsidRPr="000A4BD8" w:rsidRDefault="000A4BD8" w:rsidP="000A4BD8">
      <w:pPr>
        <w:keepNext/>
        <w:keepLines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0A4BD8" w:rsidRPr="000A4BD8" w:rsidRDefault="000A4BD8" w:rsidP="000A4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 т. 24  от Закона за местното самоуправление и местната администрация (ЗМСМА), във връзка с чл. 79, ал. 4 и ал. 5 от Закона за опазване на околната среда (ЗООС), чл. 27, ал. 2, ал. 3 от Закона за чистотата на атмосферния въздух (ЗЧАВ) и чл. 52, ал. 8 и ал. 9 от Закона за управление на отпадъците (ЗУО) и във връзка с изпълнение на Решение № 71 от 27.04.2016 г., Решение № 72 от 27.04.2016 г. и Решение № 262 от 26.10.2017 г. на Общински съвет - Никопол, Общински съвет – Никопол </w:t>
      </w:r>
    </w:p>
    <w:p w:rsidR="000A4BD8" w:rsidRPr="000A4BD8" w:rsidRDefault="000A4BD8" w:rsidP="000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A4BD8" w:rsidRPr="000A4BD8" w:rsidRDefault="000A4BD8" w:rsidP="000A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4BD8" w:rsidRPr="000A4BD8" w:rsidRDefault="000A4BD8" w:rsidP="000A4B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годишен отчет за изпълнение на мерките и дейностите в Програмата за опазване на околната среда на Община Никопол,  Програмата за управление на отпадъците на територията на Община Никопол, Програма за намаляване нивата на замърсителите и достигане на нормите на фини прахови частици в гр. Никопол за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2019</w:t>
      </w: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година, като неразделна част от настоящето решение са: </w:t>
      </w:r>
    </w:p>
    <w:p w:rsidR="000A4BD8" w:rsidRPr="000A4BD8" w:rsidRDefault="000A4BD8" w:rsidP="000A4B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1 - Отчет на Програма за опазване на околната среда на Община Никопол за 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2019</w:t>
      </w: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година;</w:t>
      </w:r>
    </w:p>
    <w:p w:rsidR="000A4BD8" w:rsidRPr="000A4BD8" w:rsidRDefault="000A4BD8" w:rsidP="000A4B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2 -  Отчет на Програма за управление на отпадъците на територията на Община Никопол за 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2019</w:t>
      </w: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година;</w:t>
      </w:r>
    </w:p>
    <w:p w:rsidR="000A4BD8" w:rsidRPr="000A4BD8" w:rsidRDefault="000A4BD8" w:rsidP="000A4B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3 - Отчет на Програма за намаляване нивата на замърсителите и достигане на нормите на фини прахови частици в гр. Никопол за </w:t>
      </w:r>
      <w:r w:rsidRPr="000A4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2019</w:t>
      </w:r>
      <w:r w:rsidRPr="000A4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0A4BD8" w:rsidRPr="000A4BD8" w:rsidRDefault="000A4BD8" w:rsidP="000A4BD8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0A4BD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0A4BD8" w:rsidRPr="000A4BD8" w:rsidRDefault="000A4BD8" w:rsidP="000A4BD8">
      <w:pPr>
        <w:spacing w:after="0" w:line="240" w:lineRule="auto"/>
        <w:rPr>
          <w:sz w:val="24"/>
          <w:szCs w:val="24"/>
        </w:rPr>
      </w:pPr>
    </w:p>
    <w:p w:rsidR="000A4BD8" w:rsidRPr="000A4BD8" w:rsidRDefault="000A4BD8" w:rsidP="000A4BD8">
      <w:pPr>
        <w:spacing w:after="0" w:line="240" w:lineRule="auto"/>
        <w:rPr>
          <w:sz w:val="24"/>
          <w:szCs w:val="24"/>
        </w:rPr>
      </w:pPr>
    </w:p>
    <w:p w:rsidR="000A4BD8" w:rsidRPr="000A4BD8" w:rsidRDefault="000A4BD8" w:rsidP="000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0A4BD8" w:rsidRPr="000A4BD8" w:rsidRDefault="000A4BD8" w:rsidP="000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0A4BD8" w:rsidRPr="000A4BD8" w:rsidRDefault="000A4BD8" w:rsidP="000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4B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0A4BD8" w:rsidRPr="000A4BD8" w:rsidRDefault="000A4BD8" w:rsidP="000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4BD8" w:rsidRPr="000A4BD8" w:rsidRDefault="000A4BD8" w:rsidP="000A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4BD8" w:rsidRPr="000A4BD8" w:rsidRDefault="000A4BD8" w:rsidP="000A4BD8">
      <w:pPr>
        <w:rPr>
          <w:sz w:val="24"/>
          <w:szCs w:val="24"/>
        </w:rPr>
      </w:pPr>
    </w:p>
    <w:p w:rsidR="000A4BD8" w:rsidRDefault="000A4BD8" w:rsidP="000A4BD8"/>
    <w:p w:rsidR="000A4BD8" w:rsidRDefault="000A4BD8" w:rsidP="000A4BD8"/>
    <w:p w:rsidR="00123B05" w:rsidRDefault="00123B05" w:rsidP="000A4BD8">
      <w:pPr>
        <w:sectPr w:rsidR="00123B05" w:rsidSect="00850A54">
          <w:pgSz w:w="11906" w:h="16838"/>
          <w:pgMar w:top="851" w:right="709" w:bottom="425" w:left="1134" w:header="709" w:footer="709" w:gutter="0"/>
          <w:cols w:space="708"/>
          <w:docGrid w:linePitch="360"/>
        </w:sectPr>
      </w:pPr>
    </w:p>
    <w:p w:rsidR="00123B05" w:rsidRPr="00496C88" w:rsidRDefault="00123B05" w:rsidP="0012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96C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Приложение №1</w:t>
      </w:r>
    </w:p>
    <w:p w:rsidR="00123B05" w:rsidRPr="00496C88" w:rsidRDefault="00123B05" w:rsidP="0012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23B05" w:rsidRPr="00496C88" w:rsidRDefault="00123B05" w:rsidP="00123B05">
      <w:pPr>
        <w:keepNext/>
        <w:spacing w:after="0" w:line="240" w:lineRule="auto"/>
        <w:ind w:left="1440" w:hanging="1440"/>
        <w:jc w:val="center"/>
        <w:outlineLvl w:val="6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96C88">
        <w:rPr>
          <w:rFonts w:ascii="Times New Roman" w:eastAsia="Times New Roman" w:hAnsi="Times New Roman" w:cs="Times New Roman"/>
          <w:b/>
          <w:caps/>
          <w:sz w:val="20"/>
          <w:szCs w:val="20"/>
        </w:rPr>
        <w:t>Отчет</w:t>
      </w:r>
    </w:p>
    <w:p w:rsidR="00123B05" w:rsidRPr="00496C88" w:rsidRDefault="00123B05" w:rsidP="00123B05">
      <w:pPr>
        <w:keepNext/>
        <w:spacing w:after="0" w:line="240" w:lineRule="auto"/>
        <w:ind w:left="1440" w:hanging="1440"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3B05" w:rsidRPr="00496C88" w:rsidRDefault="00123B05" w:rsidP="00123B05">
      <w:pPr>
        <w:keepNext/>
        <w:spacing w:after="0" w:line="240" w:lineRule="auto"/>
        <w:ind w:left="1440" w:hanging="1440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6C88">
        <w:rPr>
          <w:rFonts w:ascii="Times New Roman" w:eastAsia="Times New Roman" w:hAnsi="Times New Roman" w:cs="Times New Roman"/>
          <w:sz w:val="20"/>
          <w:szCs w:val="20"/>
        </w:rPr>
        <w:t>на Програмата за опазване на околната среда на Община Никопол за 2019 година.</w:t>
      </w:r>
    </w:p>
    <w:p w:rsidR="00123B05" w:rsidRPr="00496C88" w:rsidRDefault="00123B05" w:rsidP="0012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974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7"/>
        <w:gridCol w:w="3687"/>
        <w:gridCol w:w="1855"/>
        <w:gridCol w:w="2724"/>
        <w:gridCol w:w="2043"/>
        <w:gridCol w:w="2523"/>
        <w:gridCol w:w="2230"/>
        <w:gridCol w:w="4264"/>
        <w:gridCol w:w="4264"/>
        <w:gridCol w:w="4264"/>
      </w:tblGrid>
      <w:tr w:rsidR="00123B05" w:rsidRPr="00496C88" w:rsidTr="00153A5C">
        <w:trPr>
          <w:gridAfter w:val="4"/>
          <w:wAfter w:w="15562" w:type="dxa"/>
          <w:trHeight w:val="1169"/>
        </w:trPr>
        <w:tc>
          <w:tcPr>
            <w:tcW w:w="2833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  <w:t>ДЕЙНОСТ</w:t>
            </w:r>
          </w:p>
        </w:tc>
        <w:tc>
          <w:tcPr>
            <w:tcW w:w="3820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  <w:t>ЗАДАЧА</w:t>
            </w:r>
          </w:p>
        </w:tc>
        <w:tc>
          <w:tcPr>
            <w:tcW w:w="1919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  <w:t>СРОК</w:t>
            </w:r>
          </w:p>
        </w:tc>
        <w:tc>
          <w:tcPr>
            <w:tcW w:w="2820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  <w:t>ФИНАНСИРАНЕ</w:t>
            </w:r>
          </w:p>
        </w:tc>
        <w:tc>
          <w:tcPr>
            <w:tcW w:w="2114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  <w:t>ЕФЕКТ</w:t>
            </w:r>
          </w:p>
        </w:tc>
        <w:tc>
          <w:tcPr>
            <w:tcW w:w="2612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b/>
                <w:color w:val="FFFFFF"/>
                <w:sz w:val="20"/>
                <w:szCs w:val="20"/>
              </w:rPr>
              <w:t>ОТЧЕТ</w:t>
            </w:r>
          </w:p>
        </w:tc>
      </w:tr>
      <w:tr w:rsidR="00123B05" w:rsidRPr="00496C88" w:rsidTr="00153A5C">
        <w:trPr>
          <w:trHeight w:val="340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ВЪЗДУХ</w:t>
            </w:r>
          </w:p>
        </w:tc>
        <w:tc>
          <w:tcPr>
            <w:tcW w:w="2612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  <w:highlight w:val="yellow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ВЪЗДУХ</w:t>
            </w:r>
          </w:p>
        </w:tc>
      </w:tr>
      <w:tr w:rsidR="00123B05" w:rsidRPr="00496C88" w:rsidTr="00153A5C">
        <w:trPr>
          <w:gridAfter w:val="4"/>
          <w:wAfter w:w="15562" w:type="dxa"/>
          <w:trHeight w:val="1625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ОГРАНИЧАВАНЕ НА ЕМИСИИТЕ ОТ БИТОВО ОТОПЛЕНИЕ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Проучване и възможна схема за доставка на високо ефективни горива, въглища с ниско съдържание на сяра или дърва или подмяната им с алтернативни горива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Ограничаване използването на твърди горива с високо съдържание на сяра – въглища (брикети) със сяра на работната маса над 2%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Изготвяне проекти за саниране на същ. сграден фонд за повишаване ефективността на сградите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Реализирани проекти за саниране на многофамилни сгради. 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Реализиране на проектите за енергийна ефективност на общински сгради, читалища, училища и детски градини и т.н.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енергийната ефективност и намаляване количествата използвани горива и съответно намаляване емисиите от SO2 и прах в димните газове.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color w:val="FF6600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ОГРАНИЧАВАНЕ НА ЕМИСИИТЕ ОТ ТРАНСПОРТА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Почистване на основните пътни артерии от натрупан прах и осигуряване на поддържането им в добро техническо състояние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Извършено е почистване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/метене/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и измиване /м. 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април, 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юни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и юли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/ на улиците в града по график, утвърден от Кмета на общината. </w:t>
            </w:r>
          </w:p>
          <w:p w:rsidR="00123B05" w:rsidRPr="00496C88" w:rsidRDefault="00123B05" w:rsidP="00153A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Дейността по изпълнение е осъществена от звено "Чистота" към ОбА-Никопол и работници по социално подпомагане.</w:t>
            </w:r>
          </w:p>
          <w:p w:rsidR="00123B05" w:rsidRPr="00496C88" w:rsidRDefault="00123B05" w:rsidP="00153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Измита е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496C88">
                <w:rPr>
                  <w:rFonts w:ascii="Times New Roman" w:eastAsia="Times New Roman" w:hAnsi="Times New Roman" w:cs="Times New Roman"/>
                  <w:sz w:val="20"/>
                  <w:szCs w:val="20"/>
                  <w:lang w:val="pl-PL" w:eastAsia="pl-PL"/>
                </w:rPr>
                <w:t>32 км</w:t>
              </w:r>
            </w:smartTag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улична мрежа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Извършени текущи ремонтни дейности по рехабилитация на пътната мрежа. Реализирани дейности за ремонт и строителство на тротоари и пътни настилки.</w:t>
            </w:r>
          </w:p>
          <w:p w:rsidR="00123B05" w:rsidRPr="00496C88" w:rsidRDefault="00123B05" w:rsidP="00153A5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Благоустрояване на крайпътните и междублокови пространства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Из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вършено измиване на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обществени площи  - площади и алеи - 9 дка.  Изметени периодично улични площи и обществени терени 5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дка.  </w:t>
            </w:r>
            <w:r w:rsidRPr="00496C8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ab/>
              <w:t xml:space="preserve">Извършено  е озеленяване, поддържане и косене на  тревните площи,  кастрене на дървета, премахване на изгнила и изсъхнала дървесна растителност, поддържане на жив плет, окопаване, поливане и засаждане на нови дървесни и растителни видове. На площи потенциален източник на прах са извършени озеленителни мероприятия.  </w:t>
            </w:r>
          </w:p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Редовно миене на уличното платно през летните дни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Извършено е почистване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/метене/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и измиване /м. 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април, 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юни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юли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 на улиците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града и населените места от общината.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Изпълнение на задължителните условия при транспорт на прахообразуващи товари за наличие на покривало на всеки автомобил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Извършен контрол на тежкотоварните автомобили, превозващи насипни товари, които преминават през територията на общината.</w:t>
            </w:r>
          </w:p>
        </w:tc>
      </w:tr>
      <w:tr w:rsidR="00123B05" w:rsidRPr="00496C88" w:rsidTr="00153A5C">
        <w:trPr>
          <w:gridAfter w:val="4"/>
          <w:wAfter w:w="15562" w:type="dxa"/>
          <w:trHeight w:val="27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Формиране и поддържане на растителни пояси по протежение на натоварените автомобилни пътища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на неорганизираните прахови емисии; Намаляване замърсяването на въздуха с емисии, изпускани с автомобилните газове (прах, азотни, серни и въглеродни оксиди, сажди, летливи органични съединения)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270"/>
        </w:trPr>
        <w:tc>
          <w:tcPr>
            <w:tcW w:w="2833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Актуализация на общинска програма по чл. 27 от ЗЧАВ, за намаляване нивата на замърсителите и достигане на нормите за качество на атмосферния въздух по показател ФПЧ10.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6C88">
                <w:rPr>
                  <w:rFonts w:ascii="Times New Roman" w:eastAsia="MS Mincho" w:hAnsi="Times New Roman" w:cs="Times New Roman"/>
                  <w:sz w:val="20"/>
                  <w:szCs w:val="20"/>
                </w:rPr>
                <w:t>2016 г</w:t>
              </w:r>
            </w:smartTag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замърсяването на въздуха с емисии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Изпълнено</w:t>
            </w:r>
          </w:p>
        </w:tc>
      </w:tr>
      <w:tr w:rsidR="00123B05" w:rsidRPr="00496C88" w:rsidTr="00153A5C">
        <w:trPr>
          <w:gridAfter w:val="4"/>
          <w:wAfter w:w="15562" w:type="dxa"/>
          <w:trHeight w:val="270"/>
        </w:trPr>
        <w:tc>
          <w:tcPr>
            <w:tcW w:w="2833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административният капацитет за контрол върху неорганизираните емисии в урбанизираните територии.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административният капацитет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trHeight w:val="416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ВОДИ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ВОДИ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РЕМОНТ НА УЧАСТЪЦИ ОТ В И К МРЕЖАТА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Ремонт на водопроводи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Намаляване на загубите при доставката на питейна вода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Ремонт на амортизирани участъци от канализационната мрежа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ефективността на отвеждане на отпадъчните води до ПСОВ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trHeight w:val="433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БИОРАЗНООБРАЗИЕ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БИОРАЗНООБРАЗИЕ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ОПАЗАВАНЕ НА БИОРАЗНООБРАЗИЕТО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Спазване на ограниченията за опазване на местообитанията и птиците в защитените зони в Общината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Изпълнено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Проучване на възможности за финансиране на проекти за опазване и подобряване на биоразнообразието в Общината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Проучване на възможности за развитие на екологичен туризъм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възможност за подаване на сигнали от граждани свързани с нарушения на забраните в защитените зони сигнали за бедстващи животни и птици на територията на Общината както и за подаване на предложения за развитие и опазване на биоразнообразието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  <w:r w:rsidRPr="00496C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Проучване на възможности за финансиране на проекти за опазване и развитие на потенциална на лечебните растения на територията на общината.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Съхраняване на биоразнообразието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</w:tr>
      <w:tr w:rsidR="00123B05" w:rsidRPr="00496C88" w:rsidTr="00153A5C">
        <w:trPr>
          <w:trHeight w:val="557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ОТПАДЪЦИ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ОТПАДЪЦИ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УПРАВЛЕНИЕ НА ОТПАДЪЦИТЕ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Оптимизиране на системата за събиране и транспортиране на битови отпадъци на територията на Община Никопол във връзка с въвеждането на нови системи за разделно събиране и преустановяване експлоатацията на общинското депо и други промени в съществуващите практики за управление на отпадъците в общината.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Изградена е Регионална система за управление на отпадъците и е създадена организация по извозването на отпадъците единствено в Регионалната система</w:t>
            </w:r>
          </w:p>
        </w:tc>
      </w:tr>
      <w:tr w:rsidR="00123B05" w:rsidRPr="00496C88" w:rsidTr="00153A5C">
        <w:trPr>
          <w:gridAfter w:val="4"/>
          <w:wAfter w:w="15562" w:type="dxa"/>
          <w:trHeight w:val="1067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Оптимизиране на съществуващата система за събиране и транспортиране на битови отпадъци.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Създадени са оптимизирани графици за покриване на всички населени места.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Изследване параметрите на компоста, произведен в регионалния център за да се определи дали отговаря на изискванията за качество съгласно Наредбата за третиране на биоотпадъците.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ПЧП,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Създадени са контакти съвместно с оператора на Рег.система със сертифицирана лаборатория за изследване на параметрите на компоста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Доизграждане, въвеждане в експлоатация и поддържане на съоръженията за третиране на отпадъци в съответствие с действащите нормативни изисквания.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Общински бюджети и бюджетите на операторите на съоръженията за третиране на отпадъци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Започва изграждане на газоуловителни кладенци в клетката за депониране във рег.система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Мониторинг на съоръженията в съответствие с условията на KP.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Общински бюджети и операторите на съоръженията за третиране на отпадъци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Провежда се системен мониторинг на част води и пречиствателни съоръжения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Внедряване на системи за отчетност и контрол на образуваните, събирани и третирани количества отпадъци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Общински бюджети и операторите на съоръженията за третиране на отпадъци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Създадена е подробна система за отчетност и контрол на образувани, събрани и обработени количества отпадъци, предстои монтирането на допълнителни видео камери и осигуряване на онлайн достъп до системата на РИОСВ и органите на местната власт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Почистване от отпадъци на общинските пътища - пътя, земното платно, пътните съоръжения, обслужващите зони, и др. и осигуряване на съдове за събиране на отпадъците и транспортирането им до съоръжение за тяхното третиране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Закупена е нова техника за почистване на пътища, алеи и градини, предстои закупуване на допълнителна техника за извозване на отпадъци , поддържане на наличната техника и съдове за събиране и извозване на отпадъците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Изграждане на клетка 1 на регионалното депо и закриване и рекултивация на общинското депо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ОПОС 2007-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6C88">
                <w:rPr>
                  <w:rFonts w:ascii="Times New Roman" w:eastAsia="MS Mincho" w:hAnsi="Times New Roman" w:cs="Times New Roman"/>
                  <w:sz w:val="20"/>
                  <w:szCs w:val="20"/>
                </w:rPr>
                <w:t>2014 г</w:t>
              </w:r>
            </w:smartTag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Изградена е клетка 1 на Регионалното депо и са предприети мерки за закриване и рекултивация на общинското депо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контрола н предотвратяване нерегламентираното изхвърляне на отпадъци на неразрешени за това места, изгаряне или друга форма на неконтролирано обезвреждане на 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Извършване на проверки и приемане на сигнали на граждани за нерегламентирано изхвърляне на отпадъци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Актуализиране на общинската нормативна уредба в областта на управление на отпадъците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Хармонизиране на местното законодателство на националните и европейски политики в областта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Предстои актуализиране на Програмата за управление на отпадъците на Общината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Въвеждане на допълнителни отговорности, забрани, задължения с цел осигуряване разделното събиране на биоотпадъци и рециклируеми отпадъци, за които не се прилага принципът отговорност на производителя, включване на нови задължения към изпълнителите извършващи предварително третиране и компостиране с цел осигуряване спазването на изискванията за качество към компоста.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Хармонизиране на местното законодателство на националните и европейски политики в областта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Проведена е разяснителна кампания за ползите от разделно събиране на биоотпадъци, включени са нови обекти /Пристанище Никопол/ за поддръжка от фирмата за разделно събиране на отпадъците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Организиране на дейности по събиране, оползотворяване и  обезвреждане на строителни отпадъци и отпадъци от разрушаване, образувани от домакинствата на територията на общините от региона.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 ПУДООС, ПЧП,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Издадени са 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35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бр. разрешителни за строеж и са одобрен 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1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план за управление на строителни отпадъци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Участие във вземането на решения на регионалните сдружения за управление на 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Участие в 2 общи събрания на Регионалното сдружение за управление на отпадъците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Ефективно прилагане на законодателството по управление на отпадъците, чрез извършване на периодични проверки за спазване на изискванията и налагане на ефективни санкции, както и ясно и надлежно документиране на резултатите от проверките.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Участие в планови проверки на място в Регионалната система за управление на отпадъците извършени от представители на РИОСВ-Плевен и МОСВ-София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Извършване на морфологичен анализ на състава и количеството на битовите отпадъци, образувани на територията на съответната община, съгласно методика, утвърдена със заповед на министъра на околната среда и водите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Изготвен е морфологичен анализ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Създаване на информационна система за регистриране и отчитане на количествата рециклируеми отпадъци и биоотпадъци, с цел мониторинг изпълнението на целите за рециклиране на битови отпадъци и целите за събиране и оползотворяване на биоотпадъци, количествата биоразградими отпадъци отклонени от депа.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6C88">
                <w:rPr>
                  <w:rFonts w:ascii="Times New Roman" w:eastAsia="MS Mincho" w:hAnsi="Times New Roman" w:cs="Times New Roman"/>
                  <w:sz w:val="20"/>
                  <w:szCs w:val="20"/>
                </w:rPr>
                <w:t>2016 г</w:t>
              </w:r>
            </w:smartTag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Създадена е система за отчитане на дейностите по рециклиране и оползотворяване на предадените за обработка събрани биоотпадъци и биоразградимите отпадъци от домакинствата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Създаване и поддържане на регистър на площадките за предаване на отпадъци от пластмаси, стъкло, хартия и картон на територията на съответната община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отчетността в областта на управление на отпъдите и повишаване информираността на населението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Създаден е и се води регистър на площадките за предаване на отпадъци от хартия , пластмаса, картон и стъкло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административния капацитет.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на административния капацитет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Участие в обучение по управление на отпадъците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eastAsia="bg-BG"/>
              </w:rPr>
              <w:t>Прилагане на ефективна методика за определяне на такса “битови отпадъци”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практическото прилагане на принципа „Замърсителят плаща“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Прилага се утвърдена национална  методика за определяне на такса „битови отпадъци“ 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Предприемане на мерки за разделно събиране на битови биоразградими отпадъци.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Предприети мерки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Определяне на приоритетни проекти за финансиране чрез Оперативна програма „Околна среда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96C88">
                <w:rPr>
                  <w:rFonts w:ascii="Times New Roman" w:eastAsia="MS Mincho" w:hAnsi="Times New Roman" w:cs="Times New Roman"/>
                  <w:sz w:val="20"/>
                  <w:szCs w:val="20"/>
                </w:rPr>
                <w:t>2020 г</w:t>
              </w:r>
            </w:smartTag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.“ (ОПОС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96C88">
                <w:rPr>
                  <w:rFonts w:ascii="Times New Roman" w:eastAsia="MS Mincho" w:hAnsi="Times New Roman" w:cs="Times New Roman"/>
                  <w:sz w:val="20"/>
                  <w:szCs w:val="20"/>
                </w:rPr>
                <w:t>2020 г</w:t>
              </w:r>
            </w:smartTag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.) или други форми на финансиране извън бюджета на общината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Проучени възможности за реализиране на проекти по ОП „Околна среда 2014-20120г.“</w:t>
            </w:r>
          </w:p>
        </w:tc>
      </w:tr>
      <w:tr w:rsidR="00123B05" w:rsidRPr="00496C88" w:rsidTr="00153A5C">
        <w:trPr>
          <w:gridAfter w:val="4"/>
          <w:wAfter w:w="15562" w:type="dxa"/>
          <w:trHeight w:val="1248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Проучване на възможностите и сключване на споразумение за използването утайките от канализацията за рекултивация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Подобряване на системите по управление на отпадъците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Съвместно с оператора на Регионалното депо се проучват възможностите за използването на утайки за рекултивация</w:t>
            </w:r>
          </w:p>
        </w:tc>
      </w:tr>
      <w:tr w:rsidR="00123B05" w:rsidRPr="00496C88" w:rsidTr="00153A5C">
        <w:trPr>
          <w:gridAfter w:val="4"/>
          <w:wAfter w:w="15562" w:type="dxa"/>
          <w:trHeight w:val="1771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Актуализиране на интернет страниците на общината с цел осигуряване на актуална информация на обществеността по всички въпроси и ангажименти в областта на управление на отпадъците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Повишаване информираността на населението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Актуализирана е интернет страницата и допълване  на информацията относно управлението на отпадъците</w:t>
            </w:r>
          </w:p>
        </w:tc>
      </w:tr>
      <w:tr w:rsidR="00123B05" w:rsidRPr="00496C88" w:rsidTr="00153A5C">
        <w:trPr>
          <w:gridAfter w:val="4"/>
          <w:wAfter w:w="15562" w:type="dxa"/>
          <w:trHeight w:val="1546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Иницииране на действия за актуализиране на АРП на проекта за изграждане на регионална система за управление на отпадъците във връзка с измененията в секторното законодателство.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2015 - 2016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ПЧП, ПУДООС,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Актуализация на съществуващите документи с въведените нови изисквания в секторното законодателство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изпълнено</w:t>
            </w:r>
          </w:p>
        </w:tc>
      </w:tr>
      <w:tr w:rsidR="00123B05" w:rsidRPr="00496C88" w:rsidTr="00153A5C">
        <w:trPr>
          <w:trHeight w:val="623"/>
        </w:trPr>
        <w:tc>
          <w:tcPr>
            <w:tcW w:w="13506" w:type="dxa"/>
            <w:gridSpan w:val="5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ПУБЛИЧНОСТ</w:t>
            </w:r>
          </w:p>
        </w:tc>
        <w:tc>
          <w:tcPr>
            <w:tcW w:w="4920" w:type="dxa"/>
            <w:gridSpan w:val="2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СЕКТОР ПУБЛИЧНОСТ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 w:val="restart"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  <w:t>ПОДОБРАВЯНЕ ИНФОРМИРАНОСТТА НА НАСЕЛЕНИЕТО</w:t>
            </w: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публична информация във връзка с предоставяните възможности за подаване на проектни предложения, свързани с опазването на околната среда.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 w:val="restart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Проведени 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информационни кампании </w:t>
            </w: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 разясняване възможните вредни въздействия върху околната среда и човешкото здраве, породени от нерегламентираното изхвърляне на отпадъци сред подрастващите . </w:t>
            </w:r>
          </w:p>
          <w:p w:rsidR="00123B05" w:rsidRPr="00496C88" w:rsidRDefault="00123B05" w:rsidP="00153A5C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Провокиране на гражданското самосъзнание за  почистване и поддръжка  на заобикалящите ги територии. Контрол относно незаконно изхвърлените отпадъци на територията на общината.Включване на общественост в ежегодни кампании свързани с опазване на околната среда.</w:t>
            </w:r>
          </w:p>
          <w:p w:rsidR="00123B05" w:rsidRPr="00496C88" w:rsidRDefault="00123B05" w:rsidP="00153A5C"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Включване в кампанията та "Да изчистим България за един ден"</w:t>
            </w: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Провеждане на информационни кампании за разясняване възможните вредни въздействия върху околната среда и човешкото здраве, породени от нерегламентираното изхвърляне на опасни отпадъци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Оказване на съдействие при подготовка на проекти свързани с околната среда на НПО читалища учебни заведения различни фирми и организации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123B05" w:rsidRPr="00496C88" w:rsidTr="00153A5C">
        <w:trPr>
          <w:gridAfter w:val="4"/>
          <w:wAfter w:w="15562" w:type="dxa"/>
          <w:trHeight w:val="900"/>
        </w:trPr>
        <w:tc>
          <w:tcPr>
            <w:tcW w:w="2833" w:type="dxa"/>
            <w:vMerge/>
            <w:shd w:val="clear" w:color="auto" w:fill="4F81BD"/>
            <w:vAlign w:val="center"/>
          </w:tcPr>
          <w:p w:rsidR="00123B05" w:rsidRPr="00496C88" w:rsidRDefault="00123B05" w:rsidP="00153A5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Разяснителни кампании в подкрепа на бизнеса - определяне на патентния данък по ЗМДТ до допустимия минимум за тези данъчно задължени лица, чиято дейност води до повторна употреба на някои продукти, а оттам и до предотвратяване на отпадъците.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Собствени средства, държавен бюджет, национални и международни източници.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96C88">
              <w:rPr>
                <w:rFonts w:ascii="Times New Roman" w:eastAsia="MS Mincho" w:hAnsi="Times New Roman" w:cs="Times New Roman"/>
                <w:sz w:val="20"/>
                <w:szCs w:val="20"/>
              </w:rPr>
              <w:t>Осигуряване на публичност и прозрачност на политиките по околна среда</w:t>
            </w:r>
          </w:p>
        </w:tc>
        <w:tc>
          <w:tcPr>
            <w:tcW w:w="2612" w:type="dxa"/>
            <w:vMerge/>
            <w:shd w:val="clear" w:color="auto" w:fill="FFFFFF"/>
            <w:vAlign w:val="center"/>
          </w:tcPr>
          <w:p w:rsidR="00123B05" w:rsidRPr="00496C88" w:rsidRDefault="00123B05" w:rsidP="00153A5C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123B05" w:rsidRPr="00496C88" w:rsidRDefault="00123B05" w:rsidP="0012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23B05" w:rsidRPr="00496C88" w:rsidRDefault="00123B05" w:rsidP="0012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808B2" w:rsidRDefault="00A808B2" w:rsidP="00123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  <w:sectPr w:rsidR="00A808B2" w:rsidSect="00496C88">
          <w:pgSz w:w="16838" w:h="11906" w:orient="landscape"/>
          <w:pgMar w:top="709" w:right="425" w:bottom="426" w:left="851" w:header="709" w:footer="709" w:gutter="0"/>
          <w:cols w:space="708"/>
          <w:docGrid w:linePitch="360"/>
        </w:sectPr>
      </w:pPr>
    </w:p>
    <w:p w:rsidR="00A808B2" w:rsidRDefault="00A808B2" w:rsidP="00A808B2"/>
    <w:p w:rsidR="00A808B2" w:rsidRPr="00991206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Приложение № 2</w:t>
      </w:r>
    </w:p>
    <w:p w:rsidR="00A808B2" w:rsidRPr="00991206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 Т Ч Е Т</w:t>
      </w:r>
    </w:p>
    <w:p w:rsidR="00A808B2" w:rsidRPr="00991206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на Програма за управление на отпадъците </w:t>
      </w:r>
    </w:p>
    <w:p w:rsidR="00A808B2" w:rsidRPr="00991206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за 2019 година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72 от 27.04.2016г. на Общински Съвет –Никопол е приета </w:t>
      </w: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 за управление на отпадъците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/ПУО/. Програмата е разработена с цел отразяване на актуалното състояние и планиране на дейностите с отпадъците на територията на Община Никопол, в съответствие с нормативните изисквания,  за периода 2015-2020 година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Мерките предвидени в програмата имат за цел да очертаят действията, които общината  ще предприеме за да приложи нововъведените законодателни изисквания. Чрез програмата е заложено постигането на три основни цели: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гарантира, че местната регулаторната рамка за управление на отпадъците в общината осигурява ефективна законодателна база, за да се отговори на европейските и националните изискванията за управление на отпадъците;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изгради административна структура, способна да отговори на новите предизвикателства;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очертае рамката за поетапното въвеждане на модерна, интегрирана система за управление на отпадъците, включваща съвременни практики за събиране на отпадъци, както и подходящи съоръжения за третиране, осигуряващи прилагането на йерархията за управление на отпадъците.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Управлението на отпадъците се осъществява с цел да се създаде интегрирана рамка за намаляване на въздействията върху околната среда, причинени от генерираните отпадъци, подобряване на ефективността на използване на ресурсите, увеличаване отговорностите на замърсителите и стимулиране на инвестициите за управление на отпадъците.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Формулираните цели са съобразени с дългосрочните мерки на Националния план за управление на отпадъците за периода 2014-</w:t>
      </w:r>
      <w:smartTag w:uri="urn:schemas-microsoft-com:office:smarttags" w:element="metricconverter">
        <w:smartTagPr>
          <w:attr w:name="ProductID" w:val="2020 г"/>
        </w:smartTagPr>
        <w:r w:rsidRPr="0099120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и с действащото законодателство по управление на отпадъците. Крайният срок на програмата  съвпада с периода на действие на Националния план за управление на отпадъците за периода 2014-</w:t>
      </w:r>
      <w:smartTag w:uri="urn:schemas-microsoft-com:office:smarttags" w:element="metricconverter">
        <w:smartTagPr>
          <w:attr w:name="ProductID" w:val="2020 г"/>
        </w:smartTagPr>
        <w:r w:rsidRPr="0099120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периода на програмиране и ползване на европейските структурни и инвестиционни фондове за периода 2014-2020г. и крайния срока на „Европа 2020“ : Националната програма за реформи.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Целите, набелязани в настоящата Програма за управление на отпадъците и свързаните с тях мерки, са на база анализ на съществуващото състояние и идентифициране на проблемите.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заложените в Плана за действие към програмата мерки през 2019 година са изпълнени следните дейности: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ПРЕДОТВРАТЯВАНЕ И НАМАЛЯВАНЕ ОБРАЗУВАНЕТО НА ОТПАДЪЦИ.</w:t>
      </w:r>
    </w:p>
    <w:p w:rsidR="00A808B2" w:rsidRPr="00991206" w:rsidRDefault="00A808B2" w:rsidP="00A808B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color w:val="3366FF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2019 г. на територията на Регионална система за управление на отпадъците /РСУО/, функционираща от 07.06.2016 година за обработка е постъпил общо </w:t>
      </w:r>
      <w:r w:rsidRPr="0099120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19 122.72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тона смесен битов отпадък от системите за сметосъбиране на петте общини /Левски, Белене, Никопол, Павликени, Свищов/, от които:</w:t>
      </w:r>
    </w:p>
    <w:p w:rsidR="00A808B2" w:rsidRPr="00991206" w:rsidRDefault="00A808B2" w:rsidP="00A808B2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7 975.70 тона са постъпили в компостиращата инсталация,</w:t>
      </w:r>
    </w:p>
    <w:p w:rsidR="00A808B2" w:rsidRPr="00991206" w:rsidRDefault="00A808B2" w:rsidP="00A808B2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9 500.52 тона са постъпили в клетка №1 за депониране.</w:t>
      </w:r>
    </w:p>
    <w:p w:rsidR="00A808B2" w:rsidRPr="00991206" w:rsidRDefault="00A808B2" w:rsidP="00A808B2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Клетката е с капацитет 101 775 т. за период от 5 /пет/ години. Към 31.12.2019г. в клетката са депонирани 35 009.05 т., или заети са  34.39% от капацитета. От постъпилото общо количество отпадъци на вход са отделени 1 229.50 тона рециклируеми материали, като стъкло, хартия, черни и цветни метали, пластмаса , каучук и гумени изделия.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- 17.12 тона биоотпадъци са постъпили от системите за разделно събиране на зелени /био/отпадъци за обработка</w:t>
      </w:r>
      <w:r w:rsidRPr="009912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компостиращата инсталация 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на базата на общото количество депониран отпадък от общините Никопол, Белене, Свищов, Левски и Павликени включващ отделеното количество при сепарацията и отделеното количество от компостиращата инсталация при пресяване на фракцията, във връзка с чл.60 и чл.64 от ЗУО относно обезпеченията и отчисленията, които се дължат при депониране на отпадъци по сметка на РИОСВ са преведени общо 338 433.55 лв., от които 41 653,36 лв. по чл.60 от ЗУО  и  296 780.19 лв.по чл.64 от ЗУО.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количество постъпил отпадък през 2019 г. от община Никопол е 2 253.30 тона, за компостиране: 941.02 тона, депониране: 1231.06 тона</w:t>
      </w:r>
      <w:r w:rsidRPr="009912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сметка на  РИОСВ-Плевен във връзка с отчисленията и обезпеченията заплащани за депониране на отпадъци са преведени общо 40 009.45 лв., от които  по чл.60 от ЗУО – 4 924.24 лв. и по чл.64 от ЗУО – 35 085.21 лв.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сключен договор за услуга №303/15.10.2015 година с ДЗЗД "ЕКОСОРТ НИКОПОЛ"  като оператор на РСУО  са преведени 137 672.47 лв.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изпълнението на предписания на РИОСВ относно промяна и допълнение на комплексно разрешително  № 500- Н0/2014 г., Община Никопол е  предприела необходимите действия. След комплектоване на цялата необходима документация  и след заплащане на  необходимите такси материалите са предадени  в ИАОС и се очаква окончателната промяна на Комплексното разрешително.</w:t>
      </w: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2. УПРАВЛЕНИЕ НА СПЕЦИФИЧНИ ПОТОЦИ ОТПАДЪЦИ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ОПАКОВКИ И ОТПАДЪЦИ ОТ ОПАКОВКИ.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Никопол са разположени 22 бр. , а в  с.Новачене 6 бр. жълти пластмасови контейнери с обем </w:t>
      </w:r>
      <w:smartTag w:uri="urn:schemas-microsoft-com:office:smarttags" w:element="metricconverter">
        <w:smartTagPr>
          <w:attr w:name="ProductID" w:val="1100 л"/>
        </w:smartTagPr>
        <w:r w:rsidRPr="0099120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1100 л</w:t>
        </w:r>
      </w:smartTag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предназначени за събиране на хартиени, картонени, пластмасови и метални опаковки. За събиране на стъклени отпадъци от опаковки са разположени 11 броя в гр. Никопол и 3 броя в с. Новачене пластмасови зелени контейнери с обем </w:t>
      </w:r>
      <w:smartTag w:uri="urn:schemas-microsoft-com:office:smarttags" w:element="metricconverter">
        <w:smartTagPr>
          <w:attr w:name="ProductID" w:val="1180 л"/>
        </w:smartTagPr>
        <w:r w:rsidRPr="0099120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1180 л</w:t>
        </w:r>
      </w:smartTag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Обслужването на съдовете  е извършвано от "Екофеникс"ЕООД по предварително изготвени графици два пъти в месеца. Извозени през годината до сепарираща инсталация 22.80 тона от тях 14.78  тона нерециклируеми и 8.02 тона рециклируеми.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99120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2. БИОРАЗГРАДИМИ ОТПАДЪЦИ.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Внедрена е система за събиране на биоразградимите отпадъци и извозването им до регионалното депо. Разпределени са специални/кафяви/  контейнери по населените места от общината за събиране на зелени отпадъци и е проведена   разяснителна кампания сред населението за правилното им използване.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2.3. СТРОИТЕЛНИ ОТПАДЪЦИ И ОТПАДЪЦИ ОТ РАЗРУШАВАНЕ НА СГРАДИ.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Осъществен контрол по спазване на законодателството по управление на строителните отпадъци. Издадени 35 броя разрешителни за строеж. Одобрен 1 брой планове за управление на строителни отпадъци. Няма направени откази за одобрение на планове за управление на строителните отпадъци.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2.4 . </w:t>
      </w:r>
      <w:r w:rsidRPr="0099120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управление на другите специфични потоци от отпадъци.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управлението на другите специфични потоци от отпадъци общината има сключен  предварителен договор с община Левски за събиране и извозване на опасни отпадъци от домакинствате включващи излязла от употреба бяла техника, компютри, принтери , телевизори и др. 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3. ЗАКРИВАНЕ И РЕКУЛТИВАЦИЯ НА ОБЩИНКО ДЕПО ЗА НЕОПАСНИ ОТПАДЪЦИ  С ПРЕУСТАНОВЕНА ЕКСПЛОАТАЦИЯ.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991206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Подготовка за кандидатстване по процедура за предоставяне на безвъзмездна финансова помощ № BG16M1OP002-2.010 „Рекултивация на депа за закриване, предмет на процедура по нарушение на правото на ЕС по дело С-145/14“ по приоритетна ос 2 на Оперативна програма „Околна среда 2014-2020 г.” в началото на 2020 година.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4. УЧАСТИЕ НА ОБЩЕСТВЕНОСТТА.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 са през годината специализирани информационни кампании по управление на отпадъците и по-конкретно за разделно събиране на биоразградимите /зелени/ отпадъци, в рамките на кампанията на Община Никопол „Да почистим разделно“ са разяснени възможностите за производството на домашен компост, както и ползите от разделното събиране на зелените отпадъци 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познанията, културата и съзнанието на децата и населението по въпросите на опазването на околната среда и устойчивото развитие.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през 2019 г. продължи   партньорството с фирма „Екоколект”  АД,  да провеждат кампании с деца и отделни възрастови групи за разделното събиране на отпадъци и опазването на околната среда.</w:t>
      </w: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8B2" w:rsidRPr="00991206" w:rsidRDefault="00A808B2" w:rsidP="00A8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изминалата година беше изпълнен проект от Национална кампания „Чиста Околна среда-2019 г.”: „Обичам природата-и аз участвам” на тема „Здраве на открито” в с.Въбел и с.Драгаш войвода. Бяха отпуснати средства в размер на 19 964,00 лв от ПУДООС.</w:t>
      </w:r>
      <w:r w:rsidRPr="009912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  <w:sectPr w:rsidR="00A808B2" w:rsidSect="00A808B2">
          <w:pgSz w:w="11906" w:h="16838"/>
          <w:pgMar w:top="851" w:right="709" w:bottom="425" w:left="993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76"/>
        <w:tblW w:w="17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720"/>
        <w:gridCol w:w="1056"/>
        <w:gridCol w:w="2044"/>
        <w:gridCol w:w="1900"/>
        <w:gridCol w:w="1303"/>
        <w:gridCol w:w="3771"/>
        <w:gridCol w:w="2632"/>
      </w:tblGrid>
      <w:tr w:rsidR="00A808B2" w:rsidRPr="00991206" w:rsidTr="00153A5C">
        <w:trPr>
          <w:trHeight w:val="25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Приложение №3</w:t>
            </w:r>
          </w:p>
        </w:tc>
      </w:tr>
      <w:tr w:rsidR="00A808B2" w:rsidRPr="00991206" w:rsidTr="00153A5C">
        <w:trPr>
          <w:trHeight w:val="40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ОТЧЕТ</w:t>
            </w:r>
          </w:p>
        </w:tc>
      </w:tr>
      <w:tr w:rsidR="00A808B2" w:rsidRPr="00991206" w:rsidTr="00153A5C">
        <w:trPr>
          <w:trHeight w:val="616"/>
        </w:trPr>
        <w:tc>
          <w:tcPr>
            <w:tcW w:w="1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Програма за намаляване нивата на замърсителите и достигане на нормите на финни прахови частици в гр. Никопол, разработена на  основание чл. 27, ал.1 от Закона за чистотата на атмосферния въздух /ЗЧАВ/ за 2019 година</w:t>
            </w:r>
          </w:p>
        </w:tc>
      </w:tr>
      <w:tr w:rsidR="00A808B2" w:rsidRPr="00991206" w:rsidTr="00153A5C">
        <w:trPr>
          <w:trHeight w:val="16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Код на мярката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Мярка/дейност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Времеви обхват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Засегнат сектор на източници на емисии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за реализацията през 2019г.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Изпълнена/ неизпълнена е мярката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Индикатор за мониторинг на мярката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Намаление на годишните емисии в резултат на марката</w:t>
            </w:r>
          </w:p>
        </w:tc>
      </w:tr>
      <w:tr w:rsidR="00A808B2" w:rsidRPr="00991206" w:rsidTr="00153A5C">
        <w:trPr>
          <w:trHeight w:val="25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808B2" w:rsidRPr="00991206" w:rsidTr="00153A5C">
        <w:trPr>
          <w:trHeight w:val="126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Nil_1_1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Насърчаване и подпомагане на енергийната ефективност в жилищните сгради на територията на общината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2017 - 2020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4" w:name="RANGE!D6"/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БИТОВО ОТОПЛЕНИЕ</w:t>
            </w:r>
            <w:bookmarkEnd w:id="4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_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_</w:t>
            </w:r>
          </w:p>
        </w:tc>
      </w:tr>
      <w:tr w:rsidR="00A808B2" w:rsidRPr="00991206" w:rsidTr="00153A5C">
        <w:trPr>
          <w:trHeight w:val="129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Nil_1_2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Подготовка на проектни предложения за подобряване на енергийната ефективност на обществените сгради.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БИТОВО ОТОПЛЕНИЕ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_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_</w:t>
            </w:r>
          </w:p>
        </w:tc>
      </w:tr>
      <w:tr w:rsidR="00A808B2" w:rsidRPr="00991206" w:rsidTr="00153A5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Nil_2_1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Включване на изисквания за подобряване на енергийните характеристики при ремонт на общински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ЕНЕРГИЙНО ЕФЕКТИВНИ МЕРКИ ЗА НАМАЛЯВАНЕ НА ФПЧ10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2 ug/m3</w:t>
            </w:r>
          </w:p>
        </w:tc>
      </w:tr>
      <w:tr w:rsidR="00A808B2" w:rsidRPr="00991206" w:rsidTr="00153A5C">
        <w:trPr>
          <w:trHeight w:val="9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Nil_2_2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Информиране на населението за възможности за ефективни решения за отопление на ВЕИ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2017 - 2018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ЕНЕРГИЙНО ЕФЕКТИВНИ МЕРКИ ЗА НАМАЛЯВАНЕ НА ФПЧ10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Информационни публикации и проведени срещи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232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5" w:name="RANGE!A10"/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Nil_3_1</w:t>
            </w:r>
            <w:bookmarkEnd w:id="5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Периодично ръчно измиване на зони от улици с натрупан значителен пътен нанос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50 000,00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Извършено е почистване и измиване на улиците в града по график, утвърден от Кмета на общината. Дейноста по изпълнение се осъществява от звено "Чистота" към ОбА-Никопол и работници по програма "ОСПОЗ".   Измита е 32 км улична мрежа, обществени площи  - площади и алеи - 9 дка.  Изметени улични площи и обществени терени 580 дка.      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5 ug/m3</w:t>
            </w:r>
          </w:p>
        </w:tc>
      </w:tr>
      <w:tr w:rsidR="00A808B2" w:rsidRPr="00991206" w:rsidTr="00153A5C">
        <w:trPr>
          <w:trHeight w:val="121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Nil_3_2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Ограничаване на ръчното метене при спазване на принципа за ефективност на почистването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Извършено само на площи подлежащи на ръчно метене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2 ug/m3</w:t>
            </w:r>
          </w:p>
        </w:tc>
      </w:tr>
      <w:tr w:rsidR="00A808B2" w:rsidRPr="00991206" w:rsidTr="00153A5C">
        <w:trPr>
          <w:trHeight w:val="219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Nil_3_3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Реализиране на дейности за ремонт и строителство на тротоари, канализационни мрежи, подмяна на амортизираните пътни настилки и др.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82 000,00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Реализирани дейности за ремонт и строителство на тротоари и пътни настилки:</w:t>
            </w: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 -положен бетон на ул."Л.Дочев" гр.Никопол /900 кв.м./ и ул. "Витоша" гр.Никопол /10 кв.м./;</w:t>
            </w: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- асфалтиране - ул. "Васил Левски /250 кв.м./; ул. "Христо Ботев"  и ул. "Ал.Стамболийски" /общо 250 кв.м./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3 ug/m3</w:t>
            </w:r>
          </w:p>
        </w:tc>
      </w:tr>
      <w:tr w:rsidR="00A808B2" w:rsidRPr="00991206" w:rsidTr="00153A5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Nil_3_4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Подготовка на проектно/ни предложение/я за закупуване на общински транспортни средства с ниски емисии.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МОДЕРНИЗИРАНЕ И ПОДДЪРЖАНЕ НА ЧИСТОТАТА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принос към 2 ug/m3</w:t>
            </w:r>
          </w:p>
        </w:tc>
      </w:tr>
      <w:tr w:rsidR="00A808B2" w:rsidRPr="00991206" w:rsidTr="00153A5C">
        <w:trPr>
          <w:trHeight w:val="102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Осъществяването на контрол на замърсяването на територията около строителни обекти.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СТРОИТЕЛНИ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Извършени проверки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Осъществяването на контрол за наличие на замърсяване със земни маси при товарене, транспортиране и разтоварване.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СТРОИТЕЛНИ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Извършени проверки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252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Реализиране на местни благоустройствени проекти, имащи пряко или косвено отношение към подобряване на КАВ.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СТРОИТЕЛНИ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3 000,00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Извършено  е озеленяване, поддържане и косене на  тревните площи,  кастрене на дървета, премахване на изгнила и изсъхнала дървесна растителност, поддържане на жив плет, окопаване, поливане и засаждане на нови дървесни и растителни видове. На площи потенциален източник на прах са извършени озеленителни мероприятия.  Засадени дървета и храсти.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Провеждане на ежегодни кампании по време на Европейската седмица на мобилността и стимулиране на алтернативните начини на придвижване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ТРАНСПОРТ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500,00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Проведена кампания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Nil_6_1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Поддържане на актуална и достоверна статистическа информация, необходима за управление на качеството на въздуха на територията на общината.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публикации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Nil_6_2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Разработване на план за действие за стимулиране използването на екологосъобразни технологии за отопление.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2017 - 2018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Разработен план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27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Разработване и прилагане на схеми за „</w:t>
            </w:r>
            <w:r w:rsidRPr="00991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зелени</w:t>
            </w: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 обществени поръчки за горива за отопление и транспорт, транспортни средства.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445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6_4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Осъществяване на общински контрол за намаляване на неорганизираните емисии във въздуха, чрез реализиране на ежемесечни огледи за наличие на неорганизирани площни източници на емисии на територията на гр. Никопол, в т. число осъществени нарушения в целостта на улични и тротоарни настилки и участъци с отлагания на прах, незатревени междублокови и други пространства, нерегламентирано изгаряне на отпадъци и др.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ДЕЙНОСТИ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Осъществени огледи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305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7_1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Сътрудничество, работа по проекти в областта на подобряване на КАВ, ЕЕ и ВЕИ и съответствие с нормите за ФПЧ</w:t>
            </w: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g-BG"/>
              </w:rPr>
              <w:t>10</w:t>
            </w: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плана за действие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ВЗАИМОДЕЙСТВИЕ С ГРАЖДАНСКОТО ОБЩЕСТВО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 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Nil_</w:t>
            </w: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7_2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Информиране на обществото за предприетите в сектора решения и инициативи чрез публикуване на информация на интернет страницата на Общината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ВЗАИМОДЕЙСТВИЕ С ГРАЖДАНСКОТО ОБЩЕСТВО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началото на отоплителния сезон е публикувана информация  в местния вестник и интернет страницата на общината.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177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Nil_7_3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Провеждане на сезонни информационни кампании за уведомяване на населението във връзка с опазване качеството на въздуха и използваните горива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ВЗАИМОДЕЙСТВИЕ С ГРАЖДАНСКОТО ОБЩЕСТВО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0,00 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Проведена информационна кампания сред населението, за ползите от употреба на горива с по-добри екологични характеристики и за наличието на забрана за изгаряне на гуми, пластмаси и др. отпадъци.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B2" w:rsidRPr="00991206" w:rsidRDefault="00A808B2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9120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Цялостен ефект</w:t>
            </w:r>
          </w:p>
        </w:tc>
      </w:tr>
      <w:tr w:rsidR="00A808B2" w:rsidRPr="00991206" w:rsidTr="00153A5C">
        <w:trPr>
          <w:trHeight w:val="25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B2" w:rsidRPr="00991206" w:rsidRDefault="00A808B2" w:rsidP="0015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A808B2" w:rsidRPr="00991206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  <w:sectPr w:rsidR="00A808B2" w:rsidSect="00A808B2">
          <w:pgSz w:w="16838" w:h="11906" w:orient="landscape"/>
          <w:pgMar w:top="709" w:right="425" w:bottom="992" w:left="851" w:header="709" w:footer="709" w:gutter="0"/>
          <w:cols w:space="708"/>
          <w:docGrid w:linePitch="360"/>
        </w:sectPr>
      </w:pPr>
    </w:p>
    <w:p w:rsidR="00DD5236" w:rsidRPr="00DD5236" w:rsidRDefault="00DD5236" w:rsidP="00DD52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DD5236" w:rsidRPr="00DD5236" w:rsidRDefault="00DD5236" w:rsidP="00DD52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523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1E842" wp14:editId="53E80DC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A5uSAs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DD523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DD5236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D523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№74/27.03.2020г.</w:t>
      </w: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5236" w:rsidRPr="00DD5236" w:rsidRDefault="00DD5236" w:rsidP="00DD5236">
      <w:pPr>
        <w:keepNext/>
        <w:keepLines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52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DD5236">
        <w:rPr>
          <w:rFonts w:ascii="Times New Roman" w:hAnsi="Times New Roman" w:cs="Times New Roman"/>
          <w:sz w:val="24"/>
          <w:szCs w:val="24"/>
        </w:rPr>
        <w:t xml:space="preserve"> </w:t>
      </w:r>
      <w:r w:rsidRPr="00DD52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Приемане на Годишен доклад за 2019 г. на Общински план за развитие за периода 2014-2020 г.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(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 2014-2020 г.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).</w:t>
      </w:r>
    </w:p>
    <w:p w:rsidR="00DD5236" w:rsidRPr="00DD5236" w:rsidRDefault="00DD5236" w:rsidP="00DD5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21, ал. 1, т. 24 от ЗМСМА,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23, т. 4, чл. 24, т. 4 </w:t>
      </w:r>
      <w:r w:rsidRPr="00DD52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Pr="00DD52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Закона за </w:t>
      </w:r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регионално развитие, във връзка с Решение № 392 / 16.12.2013 г. и Решение №272/28.11.2017 г., Общински съвет – Никопол, прие следното </w:t>
      </w:r>
    </w:p>
    <w:p w:rsidR="00DD5236" w:rsidRPr="00DD5236" w:rsidRDefault="00DD5236" w:rsidP="00DD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D5236" w:rsidRPr="00DD5236" w:rsidRDefault="00DD5236" w:rsidP="00DD5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1.Одобрява Годишен доклад за 2019 г. на Общинския план за развитие на Община Никопол за периода 2014 – </w:t>
      </w:r>
      <w:smartTag w:uri="urn:schemas-microsoft-com:office:smarttags" w:element="metricconverter">
        <w:smartTagPr>
          <w:attr w:name="ProductID" w:val="2020 г"/>
        </w:smartTagPr>
        <w:r w:rsidRPr="00DD523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D52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приложенията към него / Приложение  № 1 /.</w:t>
      </w:r>
    </w:p>
    <w:p w:rsidR="00DD5236" w:rsidRPr="00DD5236" w:rsidRDefault="00DD5236" w:rsidP="00DD5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2.Възлага на кмета на Община Никопол да публикува на сайта на общината Годишен доклад за 2019 г. на Общинския план за развитие на Община Никопол за периода 2014 – </w:t>
      </w:r>
      <w:smartTag w:uri="urn:schemas-microsoft-com:office:smarttags" w:element="metricconverter">
        <w:smartTagPr>
          <w:attr w:name="ProductID" w:val="2020 г"/>
        </w:smartTagPr>
        <w:r w:rsidRPr="00DD523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Pr="00DD52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D5236" w:rsidRPr="00DD5236" w:rsidRDefault="00DD5236" w:rsidP="00DD5236">
      <w:pPr>
        <w:tabs>
          <w:tab w:val="num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236" w:rsidRPr="00DD5236" w:rsidRDefault="00DD5236" w:rsidP="00DD5236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36" w:rsidRPr="00DD5236" w:rsidRDefault="00DD5236" w:rsidP="00DD5236">
      <w:pPr>
        <w:spacing w:after="0" w:line="240" w:lineRule="auto"/>
        <w:rPr>
          <w:sz w:val="24"/>
          <w:szCs w:val="24"/>
        </w:rPr>
      </w:pPr>
    </w:p>
    <w:p w:rsidR="00DD5236" w:rsidRPr="00DD5236" w:rsidRDefault="00DD5236" w:rsidP="00DD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DD5236" w:rsidRPr="00DD5236" w:rsidRDefault="00DD5236" w:rsidP="00DD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DD5236" w:rsidRPr="00DD5236" w:rsidRDefault="00DD5236" w:rsidP="00DD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52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DD5236" w:rsidRPr="00720E83" w:rsidRDefault="00DD5236" w:rsidP="00DD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Годишен доклад  за 2019 г. за наблюдението и изпълнението  на Общински план за развитие 2014  -2020г.</w:t>
      </w:r>
    </w:p>
    <w:p w:rsidR="00153671" w:rsidRPr="00153671" w:rsidRDefault="00153671" w:rsidP="0015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Lines="200" w:after="4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Наблюдението и оценката на общински планове за развитие (ОПР) е детайлизиран в Правилника за прилагане на Закона за регионалното развитие. С Правилника се уреждат наблюдението на изпълнението на регионалните планове за развитие и на общинските планове за развитие. Наблюдението и оценката за изпълнение на общинските планове за развитие се разглежда в Глава четвърта  в  Раздел III,  където е определен органа за наблюдение на изпълнението на ОПР – общинския съвет (чл.89, ал.1), източникът на финансово и техническо обезпечаване на дейността по наблюдението – бюджетът на общината (чл.90), както и описание на целия процес по организация и реализиране на дейностите по наблюдение изпълнението на Общинския план за развитие (чл.91, ал.1 – ал. 8).</w:t>
      </w:r>
    </w:p>
    <w:p w:rsidR="00153671" w:rsidRPr="00153671" w:rsidRDefault="00153671" w:rsidP="00153671">
      <w:pPr>
        <w:spacing w:afterLines="200" w:after="4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документ, свидетелство за извършеното наблюдение и текуща оценка на изпълнението на Общинския план за развитие, е Годишния доклад за изпълнение на ОПР, който се внася от кмета на Общината за одобрение на Общински съвет.</w:t>
      </w:r>
    </w:p>
    <w:p w:rsidR="00153671" w:rsidRPr="00153671" w:rsidRDefault="00153671" w:rsidP="00153671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чл.91, ал. 8,  Годишният доклад за наблюдението на изпълнението на общинския план за развитие съдържа информация за:</w:t>
      </w:r>
    </w:p>
    <w:p w:rsidR="00153671" w:rsidRPr="00153671" w:rsidRDefault="00153671" w:rsidP="00153671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общите условия за изпълнение на общинския план за развитие и в частност промените в социално-икономическите условия в общината;</w:t>
      </w:r>
    </w:p>
    <w:p w:rsidR="00153671" w:rsidRPr="00153671" w:rsidRDefault="00153671" w:rsidP="00153671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постигнатия напредък по изпълнението на целите и приоритетите на общинския план за развитие въз основа на индикаторите за наблюдение;</w:t>
      </w:r>
    </w:p>
    <w:p w:rsidR="00153671" w:rsidRPr="00153671" w:rsidRDefault="00153671" w:rsidP="00153671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действията, предприети от компетентните органи с цел осигуряване на ефективност и ефикасност при изпълнението на общинския план за развитие, в т. ч……:</w:t>
      </w:r>
    </w:p>
    <w:p w:rsidR="00153671" w:rsidRPr="00153671" w:rsidRDefault="00153671" w:rsidP="00153671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(нова - ДВ, бр.50 от </w:t>
      </w:r>
      <w:smartTag w:uri="urn:schemas-microsoft-com:office:smarttags" w:element="metricconverter">
        <w:smartTagPr>
          <w:attr w:name="ProductID" w:val="2016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2016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.) изпълнението на проекти, допринасящи за постигане на целите и приоритетите на общинските планове за развитие и на областната стратегия за развитие;</w:t>
      </w:r>
    </w:p>
    <w:p w:rsidR="00153671" w:rsidRPr="00153671" w:rsidRDefault="00153671" w:rsidP="00153671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(предишна т.4 - ДВ, бр.50 от </w:t>
      </w:r>
      <w:smartTag w:uri="urn:schemas-microsoft-com:office:smarttags" w:element="metricconverter">
        <w:smartTagPr>
          <w:attr w:name="ProductID" w:val="2016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2016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.) заключения и предложения за подобряване на резултатите от наблюдението.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i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i/>
          <w:color w:val="008000"/>
          <w:sz w:val="24"/>
          <w:szCs w:val="24"/>
          <w:lang w:eastAsia="bg-BG"/>
        </w:rPr>
      </w:pPr>
      <w:r w:rsidRPr="00153671">
        <w:rPr>
          <w:rFonts w:ascii="Garamond" w:eastAsia="Times New Roman" w:hAnsi="Garamond" w:cs="Times New Roman"/>
          <w:i/>
          <w:color w:val="008000"/>
          <w:sz w:val="24"/>
          <w:szCs w:val="24"/>
          <w:lang w:eastAsia="bg-BG"/>
        </w:rPr>
        <w:t>Методи и критерии за оценка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153671">
        <w:rPr>
          <w:rFonts w:ascii="Garamond" w:eastAsia="Times New Roman" w:hAnsi="Garamond" w:cs="Times New Roman"/>
          <w:sz w:val="24"/>
          <w:szCs w:val="24"/>
          <w:lang w:eastAsia="bg-BG"/>
        </w:rPr>
        <w:t>Предвид основната и специфични цели и поставените задачи, методите, определени за извършване на годишния доклад са:</w:t>
      </w:r>
    </w:p>
    <w:p w:rsidR="00153671" w:rsidRPr="00153671" w:rsidRDefault="00153671" w:rsidP="00153671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53671">
        <w:rPr>
          <w:rFonts w:ascii="Garamond" w:eastAsia="Calibri" w:hAnsi="Garamond" w:cs="Times New Roman"/>
          <w:sz w:val="24"/>
          <w:szCs w:val="24"/>
        </w:rPr>
        <w:t>Метод на наблюдение, проучване и описание – събиране на данни и информация; проучване на документи; описание на факти, данни, резултати, констатации, препоръки и изводи.</w:t>
      </w:r>
    </w:p>
    <w:p w:rsidR="00153671" w:rsidRPr="00153671" w:rsidRDefault="00153671" w:rsidP="00153671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53671">
        <w:rPr>
          <w:rFonts w:ascii="Garamond" w:eastAsia="Calibri" w:hAnsi="Garamond" w:cs="Times New Roman"/>
          <w:sz w:val="24"/>
          <w:szCs w:val="24"/>
        </w:rPr>
        <w:t>Анализ и синтез – анализ на базова входяща информация и данни и се обобщаване на резултатите за нивото на изпълнение на ОПР;</w:t>
      </w:r>
    </w:p>
    <w:p w:rsidR="00153671" w:rsidRPr="00153671" w:rsidRDefault="00153671" w:rsidP="00153671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53671">
        <w:rPr>
          <w:rFonts w:ascii="Garamond" w:eastAsia="Calibri" w:hAnsi="Garamond" w:cs="Times New Roman"/>
          <w:sz w:val="24"/>
          <w:szCs w:val="24"/>
        </w:rPr>
        <w:t>Сравнение (бенчмаркинг) и оценка – сравнение на данни, факти, показатели и резултати. Оценяване степента на изпълнение, степента на постигане на заложените цели, ефективност и ефикасност на използваните ресурси и други;</w:t>
      </w:r>
    </w:p>
    <w:p w:rsidR="00153671" w:rsidRPr="00153671" w:rsidRDefault="00153671" w:rsidP="00153671">
      <w:pPr>
        <w:numPr>
          <w:ilvl w:val="0"/>
          <w:numId w:val="16"/>
        </w:numPr>
        <w:spacing w:after="0" w:line="240" w:lineRule="auto"/>
        <w:ind w:firstLine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53671">
        <w:rPr>
          <w:rFonts w:ascii="Garamond" w:eastAsia="Calibri" w:hAnsi="Garamond" w:cs="Times New Roman"/>
          <w:sz w:val="24"/>
          <w:szCs w:val="24"/>
        </w:rPr>
        <w:t xml:space="preserve">Метод на табличното и графично представяне - представяне и изобразяване на данни, факти, тенденции чрез таблици </w:t>
      </w:r>
    </w:p>
    <w:p w:rsidR="00153671" w:rsidRPr="00153671" w:rsidRDefault="00153671" w:rsidP="00153671">
      <w:pPr>
        <w:spacing w:afterLines="200" w:after="48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Lines="200" w:after="48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bg-BG"/>
        </w:rPr>
      </w:pPr>
      <w:r w:rsidRPr="00153671">
        <w:rPr>
          <w:rFonts w:ascii="Garamond" w:eastAsia="Times New Roman" w:hAnsi="Garamond" w:cs="Times New Roman"/>
          <w:sz w:val="24"/>
          <w:szCs w:val="24"/>
          <w:lang w:eastAsia="bg-BG"/>
        </w:rPr>
        <w:t>Основните критерии за оценка на ОПР 2014-2020 произтичат от същността и характера на оценката, а именно: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525"/>
      </w:tblGrid>
      <w:tr w:rsidR="00153671" w:rsidRPr="00153671" w:rsidTr="00153A5C">
        <w:trPr>
          <w:trHeight w:val="3667"/>
        </w:trPr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1. Ефективност</w:t>
            </w:r>
          </w:p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Дава информация до каква степен целите са постигнати; приложените интервенциите и използваните инструменти произвели ли са очакваните ефекти; използването на други инструменти би ли оптимизирало повече получените ефекти.</w:t>
            </w:r>
          </w:p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Показатели: Настъпили положителни тенденции на развитие в резултат от изпълнение на ОПР; ниво на отчетените индикатори.</w:t>
            </w:r>
          </w:p>
        </w:tc>
      </w:tr>
      <w:tr w:rsidR="00153671" w:rsidRPr="00153671" w:rsidTr="00153A5C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2. Ефикасност</w:t>
            </w:r>
          </w:p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Постигнатите положителни промени / резултати са реализирани на възможно най-ниска „цена“; налице е положителен баланс между постигнати резултати – вложени ресурси.</w:t>
            </w:r>
          </w:p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Показатели: Степен на финансово изпълнение на плана (планирано/изпълнено); Използвани финансови ресурси и източници на изпълнение на ОПР.</w:t>
            </w:r>
          </w:p>
        </w:tc>
      </w:tr>
      <w:tr w:rsidR="00153671" w:rsidRPr="00153671" w:rsidTr="00153A5C">
        <w:trPr>
          <w:trHeight w:val="416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3. Полезност</w:t>
            </w:r>
          </w:p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Оценка на това, до колко постигнатите планирани и непланирани ефекти и оказани въздействия ас задоволителни от гледна точка на преките и не преки реципиенти.</w:t>
            </w:r>
          </w:p>
        </w:tc>
      </w:tr>
      <w:tr w:rsidR="00153671" w:rsidRPr="00153671" w:rsidTr="00153A5C"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Критерий 4. Устойчивост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671" w:rsidRPr="00153671" w:rsidRDefault="00153671" w:rsidP="00153671">
            <w:pPr>
              <w:spacing w:afterLines="200" w:after="480" w:line="240" w:lineRule="auto"/>
              <w:contextualSpacing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Значение: Дава информация до колко резултатите от изпълнението на плана включват институционални промени, които ще бъдат трайни във времето; До колко постигнатите резултати ще продължат своето съществуване в случай, че няма външно/ вътрешно финансиране за поддържането/ доразвиването им.</w:t>
            </w:r>
          </w:p>
        </w:tc>
      </w:tr>
    </w:tbl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І. Общи условия за изпълнение на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план за развитие и в частност промените в социално-икономическите условия в общината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Население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данни на Община Никопол населението на общината, по постоянен адрес, към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9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721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една/ година броя на  населението в общината е намаляло с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196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души. Данните за изменение броя на населението са посочени в 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 1.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 1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Разпределение и изменение на населението по местоживеене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2116"/>
        <w:gridCol w:w="1984"/>
        <w:gridCol w:w="2189"/>
        <w:gridCol w:w="2160"/>
      </w:tblGrid>
      <w:tr w:rsidR="00153671" w:rsidRPr="00153671" w:rsidTr="00153A5C">
        <w:trPr>
          <w:tblHeader/>
        </w:trPr>
        <w:tc>
          <w:tcPr>
            <w:tcW w:w="839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16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84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населението към 31.12.2018 г.</w:t>
            </w:r>
          </w:p>
        </w:tc>
        <w:tc>
          <w:tcPr>
            <w:tcW w:w="2189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населението към 31.12.2019г.</w:t>
            </w:r>
          </w:p>
        </w:tc>
        <w:tc>
          <w:tcPr>
            <w:tcW w:w="2160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Изменение, в абсолютен брой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183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Бацова махала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459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453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Въбел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634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Дебово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551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535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Драгаш войвода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585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560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Евлогиево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61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Жернов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76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Лозица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183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155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729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711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1127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1092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35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260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Черковица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446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445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4398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4373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53671" w:rsidRPr="00153671" w:rsidTr="00153A5C">
        <w:tc>
          <w:tcPr>
            <w:tcW w:w="83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16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9917</w:t>
            </w:r>
          </w:p>
        </w:tc>
        <w:tc>
          <w:tcPr>
            <w:tcW w:w="2189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9721</w:t>
            </w:r>
          </w:p>
        </w:tc>
        <w:tc>
          <w:tcPr>
            <w:tcW w:w="2160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AF"/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196</w:t>
            </w:r>
          </w:p>
        </w:tc>
      </w:tr>
    </w:tbl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Забележка:</w:t>
      </w:r>
      <w:r w:rsidRPr="0015367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Изчисленията за 2019 г.  по данни от ГД ГРАО  за Община Никопол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демографски процеси (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виж. Таблица №2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Естествен, механичен и общ прираст) запазват своите негативни тенденции.</w:t>
      </w: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Намаляването на населението основно се дължи на отрицателния естествен прираст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№2</w:t>
      </w:r>
    </w:p>
    <w:p w:rsidR="00153671" w:rsidRPr="00153671" w:rsidRDefault="00153671" w:rsidP="001536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Естествен, механичен и общ прираст </w:t>
      </w:r>
    </w:p>
    <w:tbl>
      <w:tblPr>
        <w:tblW w:w="7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1582"/>
        <w:gridCol w:w="1582"/>
      </w:tblGrid>
      <w:tr w:rsidR="00153671" w:rsidRPr="00153671" w:rsidTr="00153A5C">
        <w:trPr>
          <w:tblHeader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31.12.2018 г.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31.12.2019 г.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Население, брой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9 917 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9 721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Раждаемост (брой родени)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Смъртност (брой починали)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162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188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Естествен прираст, брой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-135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-162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Коефициент на естествен прираст,  ‰*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-13.61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-15.75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Заселени, брой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Изселени, брой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Механичен прираст, брой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Коефициент на механичен прираст, ‰*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  <w:tr w:rsidR="00153671" w:rsidRPr="00153671" w:rsidTr="00153A5C">
        <w:trPr>
          <w:jc w:val="center"/>
        </w:trPr>
        <w:tc>
          <w:tcPr>
            <w:tcW w:w="4407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прираст на населението, брой*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  <w:tc>
          <w:tcPr>
            <w:tcW w:w="158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данни</w:t>
            </w:r>
          </w:p>
        </w:tc>
      </w:tr>
    </w:tbl>
    <w:p w:rsidR="00153671" w:rsidRPr="00153671" w:rsidRDefault="00153671" w:rsidP="001536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Забележка</w:t>
      </w:r>
      <w:r w:rsidRPr="00153671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. Данните са от Община Никопол.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Възрастова структура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Продължава процесът по демографско остаряване. Към 31.12.201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9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броят на лицата над 60 и повече години представлява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34,7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цялото население на общината, като отбелязва увеличение в сравнение с 2018 г.-33,0 %.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Населението в трудоспособна възраст (ТрВ) за 1 година  бележи намаление  с 1,35 %.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2019 г. делът на населението в трудоспособна възраст е 50,36 %, в сравнение с 2018 г., когато той е 51,71%.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изменението на населението по трудоспособна възраст за 2019 г. спрямо 2018 г. е посочено в таблицата по-долу.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 xml:space="preserve">Таблица №3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Население под, в и над трудоспособна възраст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8"/>
        <w:gridCol w:w="1043"/>
        <w:gridCol w:w="787"/>
        <w:gridCol w:w="1029"/>
        <w:gridCol w:w="1043"/>
        <w:gridCol w:w="787"/>
        <w:gridCol w:w="1029"/>
      </w:tblGrid>
      <w:tr w:rsidR="00153671" w:rsidRPr="00153671" w:rsidTr="00153A5C">
        <w:trPr>
          <w:tblHeader/>
          <w:jc w:val="center"/>
        </w:trPr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  <w:tc>
          <w:tcPr>
            <w:tcW w:w="0" w:type="auto"/>
            <w:gridSpan w:val="3"/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153671" w:rsidRPr="00153671" w:rsidTr="00153A5C">
        <w:trPr>
          <w:tblHeader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ТрВ</w:t>
            </w:r>
          </w:p>
        </w:tc>
        <w:tc>
          <w:tcPr>
            <w:tcW w:w="0" w:type="auto"/>
            <w:shd w:val="clear" w:color="auto" w:fill="FDE9D9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ТрВ</w:t>
            </w:r>
          </w:p>
        </w:tc>
      </w:tr>
      <w:tr w:rsidR="00153671" w:rsidRPr="00153671" w:rsidTr="00153A5C">
        <w:trPr>
          <w:jc w:val="center"/>
        </w:trPr>
        <w:tc>
          <w:tcPr>
            <w:tcW w:w="1888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Никопол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53671" w:rsidRPr="00153671" w:rsidTr="00153A5C">
        <w:trPr>
          <w:jc w:val="center"/>
        </w:trPr>
        <w:tc>
          <w:tcPr>
            <w:tcW w:w="1888" w:type="dxa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Общо: 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1495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5128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3294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1481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4896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3364</w:t>
            </w:r>
          </w:p>
        </w:tc>
      </w:tr>
      <w:tr w:rsidR="00153671" w:rsidRPr="00153671" w:rsidTr="00153A5C">
        <w:trPr>
          <w:jc w:val="center"/>
        </w:trPr>
        <w:tc>
          <w:tcPr>
            <w:tcW w:w="1888" w:type="dxa"/>
            <w:noWrap/>
            <w:vAlign w:val="bottom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Дял,%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15,08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51,71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33,22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15,23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50,36</w:t>
            </w:r>
          </w:p>
        </w:tc>
        <w:tc>
          <w:tcPr>
            <w:tcW w:w="0" w:type="auto"/>
            <w:noWrap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34,7</w:t>
            </w:r>
          </w:p>
        </w:tc>
      </w:tr>
    </w:tbl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Забележка.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Изчисленията са направени по данни за населението по  постоянен адрес, от ГД ГРАО за Община Никопол 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Безработица и заетост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Броят на регистрираните безработни в община Никопол към 31.12.201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718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лица. През анализирания период броя на регистрираните безработни лица е намалял едва с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души спрямо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отбележи, че равнището на безработица спрямо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се запазва и към 31.12.201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2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7,0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%.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Забелязва се запазване  на относителния дял на безработните лица с висше  и начално и по-ниско образование. Притеснително е намаляването на относителния дял на безработните лица  със средно образование и увеличението на безработните лица с основно образование с около 3 %.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останалите структурни разрези относителния дял на всяка от групите се запазва, независимо от общото намаление на броя на безработните лица.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таблицата по-долу е представена обобщена информация за структурата на безработните в четири основни разреза, включително броя на регистрираните безработни и равнището на безработица в община Никопол. 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ab/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4</w:t>
      </w:r>
    </w:p>
    <w:p w:rsidR="00153671" w:rsidRPr="00153671" w:rsidRDefault="00153671" w:rsidP="001536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Безработица</w:t>
      </w:r>
    </w:p>
    <w:tbl>
      <w:tblPr>
        <w:tblStyle w:val="af3"/>
        <w:tblW w:w="6660" w:type="dxa"/>
        <w:tblInd w:w="1008" w:type="dxa"/>
        <w:tblLook w:val="01E0" w:firstRow="1" w:lastRow="1" w:firstColumn="1" w:lastColumn="1" w:noHBand="0" w:noVBand="0"/>
      </w:tblPr>
      <w:tblGrid>
        <w:gridCol w:w="3535"/>
        <w:gridCol w:w="764"/>
        <w:gridCol w:w="15"/>
        <w:gridCol w:w="27"/>
        <w:gridCol w:w="43"/>
        <w:gridCol w:w="45"/>
        <w:gridCol w:w="756"/>
        <w:gridCol w:w="749"/>
        <w:gridCol w:w="15"/>
        <w:gridCol w:w="15"/>
        <w:gridCol w:w="696"/>
      </w:tblGrid>
      <w:tr w:rsidR="00153671" w:rsidRPr="00153671" w:rsidTr="00153A5C">
        <w:tc>
          <w:tcPr>
            <w:tcW w:w="3535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Година</w:t>
            </w:r>
          </w:p>
        </w:tc>
        <w:tc>
          <w:tcPr>
            <w:tcW w:w="1650" w:type="dxa"/>
            <w:gridSpan w:val="6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2018 г.</w:t>
            </w:r>
          </w:p>
        </w:tc>
        <w:tc>
          <w:tcPr>
            <w:tcW w:w="1475" w:type="dxa"/>
            <w:gridSpan w:val="4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2019 г.</w:t>
            </w:r>
          </w:p>
        </w:tc>
      </w:tr>
      <w:tr w:rsidR="00153671" w:rsidRPr="00153671" w:rsidTr="00153A5C">
        <w:tc>
          <w:tcPr>
            <w:tcW w:w="3535" w:type="dxa"/>
            <w:vAlign w:val="bottom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 Показател</w:t>
            </w:r>
          </w:p>
        </w:tc>
        <w:tc>
          <w:tcPr>
            <w:tcW w:w="779" w:type="dxa"/>
            <w:gridSpan w:val="2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Брой</w:t>
            </w:r>
          </w:p>
        </w:tc>
        <w:tc>
          <w:tcPr>
            <w:tcW w:w="871" w:type="dxa"/>
            <w:gridSpan w:val="4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%</w:t>
            </w:r>
          </w:p>
        </w:tc>
        <w:tc>
          <w:tcPr>
            <w:tcW w:w="779" w:type="dxa"/>
            <w:gridSpan w:val="3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Брой</w:t>
            </w:r>
          </w:p>
        </w:tc>
        <w:tc>
          <w:tcPr>
            <w:tcW w:w="696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%</w:t>
            </w:r>
          </w:p>
        </w:tc>
      </w:tr>
      <w:tr w:rsidR="00153671" w:rsidRPr="00153671" w:rsidTr="00153A5C">
        <w:tc>
          <w:tcPr>
            <w:tcW w:w="3535" w:type="dxa"/>
            <w:vAlign w:val="bottom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Регистрирани безработни лица</w:t>
            </w:r>
          </w:p>
        </w:tc>
        <w:tc>
          <w:tcPr>
            <w:tcW w:w="779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722</w:t>
            </w:r>
          </w:p>
        </w:tc>
        <w:tc>
          <w:tcPr>
            <w:tcW w:w="871" w:type="dxa"/>
            <w:gridSpan w:val="4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79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718</w:t>
            </w:r>
          </w:p>
        </w:tc>
        <w:tc>
          <w:tcPr>
            <w:tcW w:w="696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-</w:t>
            </w:r>
          </w:p>
        </w:tc>
      </w:tr>
      <w:tr w:rsidR="00153671" w:rsidRPr="00153671" w:rsidTr="00153A5C">
        <w:tc>
          <w:tcPr>
            <w:tcW w:w="3535" w:type="dxa"/>
            <w:vAlign w:val="bottom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Равнище на безработицата</w:t>
            </w:r>
          </w:p>
        </w:tc>
        <w:tc>
          <w:tcPr>
            <w:tcW w:w="779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1" w:type="dxa"/>
            <w:gridSpan w:val="4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27,1</w:t>
            </w:r>
          </w:p>
        </w:tc>
        <w:tc>
          <w:tcPr>
            <w:tcW w:w="779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27,0</w:t>
            </w:r>
          </w:p>
        </w:tc>
      </w:tr>
      <w:tr w:rsidR="00153671" w:rsidRPr="00153671" w:rsidTr="00153A5C">
        <w:tc>
          <w:tcPr>
            <w:tcW w:w="6660" w:type="dxa"/>
            <w:gridSpan w:val="11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Структура на безработните лица по образование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 висше образование</w:t>
            </w:r>
          </w:p>
        </w:tc>
        <w:tc>
          <w:tcPr>
            <w:tcW w:w="80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44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3,2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3,1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със средно образование</w:t>
            </w:r>
          </w:p>
        </w:tc>
        <w:tc>
          <w:tcPr>
            <w:tcW w:w="80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346</w:t>
            </w:r>
          </w:p>
        </w:tc>
        <w:tc>
          <w:tcPr>
            <w:tcW w:w="844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47,9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332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46,2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 основно образование</w:t>
            </w:r>
          </w:p>
        </w:tc>
        <w:tc>
          <w:tcPr>
            <w:tcW w:w="80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844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21,6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176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24,5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 начално и по-ниско образование</w:t>
            </w:r>
          </w:p>
        </w:tc>
        <w:tc>
          <w:tcPr>
            <w:tcW w:w="80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197</w:t>
            </w:r>
          </w:p>
        </w:tc>
        <w:tc>
          <w:tcPr>
            <w:tcW w:w="844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27,3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196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27,3</w:t>
            </w:r>
          </w:p>
        </w:tc>
      </w:tr>
      <w:tr w:rsidR="00153671" w:rsidRPr="00153671" w:rsidTr="00153A5C">
        <w:tc>
          <w:tcPr>
            <w:tcW w:w="6660" w:type="dxa"/>
            <w:gridSpan w:val="11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Структура на безработните лица по специалност / професия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 работническа професия</w:t>
            </w:r>
          </w:p>
        </w:tc>
        <w:tc>
          <w:tcPr>
            <w:tcW w:w="849" w:type="dxa"/>
            <w:gridSpan w:val="4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80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28,8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215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29,9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специалисти</w:t>
            </w:r>
          </w:p>
        </w:tc>
        <w:tc>
          <w:tcPr>
            <w:tcW w:w="849" w:type="dxa"/>
            <w:gridSpan w:val="4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0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69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9,6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без квалификация</w:t>
            </w:r>
          </w:p>
        </w:tc>
        <w:tc>
          <w:tcPr>
            <w:tcW w:w="849" w:type="dxa"/>
            <w:gridSpan w:val="4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80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59,7</w:t>
            </w:r>
          </w:p>
        </w:tc>
        <w:tc>
          <w:tcPr>
            <w:tcW w:w="764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434</w:t>
            </w:r>
          </w:p>
        </w:tc>
        <w:tc>
          <w:tcPr>
            <w:tcW w:w="711" w:type="dxa"/>
            <w:gridSpan w:val="2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60,5</w:t>
            </w:r>
          </w:p>
        </w:tc>
      </w:tr>
      <w:tr w:rsidR="00153671" w:rsidRPr="00153671" w:rsidTr="00153A5C">
        <w:tc>
          <w:tcPr>
            <w:tcW w:w="6660" w:type="dxa"/>
            <w:gridSpan w:val="11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Структура на безработните лица по пол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жени</w:t>
            </w:r>
          </w:p>
        </w:tc>
        <w:tc>
          <w:tcPr>
            <w:tcW w:w="894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364</w:t>
            </w:r>
          </w:p>
        </w:tc>
        <w:tc>
          <w:tcPr>
            <w:tcW w:w="756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50,4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350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48,7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мъже</w:t>
            </w:r>
          </w:p>
        </w:tc>
        <w:tc>
          <w:tcPr>
            <w:tcW w:w="894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358</w:t>
            </w:r>
          </w:p>
        </w:tc>
        <w:tc>
          <w:tcPr>
            <w:tcW w:w="756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49,6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368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51,3</w:t>
            </w:r>
          </w:p>
        </w:tc>
      </w:tr>
      <w:tr w:rsidR="00153671" w:rsidRPr="00153671" w:rsidTr="00153A5C">
        <w:tc>
          <w:tcPr>
            <w:tcW w:w="6660" w:type="dxa"/>
            <w:gridSpan w:val="11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Структура на безработните лица по възраст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153671">
                <w:rPr>
                  <w:sz w:val="24"/>
                  <w:szCs w:val="24"/>
                </w:rPr>
                <w:t>19 г</w:t>
              </w:r>
            </w:smartTag>
            <w:r w:rsidRPr="00153671">
              <w:rPr>
                <w:sz w:val="24"/>
                <w:szCs w:val="24"/>
              </w:rPr>
              <w:t>. вкл.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9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1,2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20-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153671">
                <w:rPr>
                  <w:sz w:val="24"/>
                  <w:szCs w:val="24"/>
                </w:rPr>
                <w:t>24 г</w:t>
              </w:r>
            </w:smartTag>
            <w:r w:rsidRPr="00153671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4,2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3,3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153671">
                <w:rPr>
                  <w:sz w:val="24"/>
                  <w:szCs w:val="24"/>
                </w:rPr>
                <w:t>29 г</w:t>
              </w:r>
            </w:smartTag>
            <w:r w:rsidRPr="00153671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7,3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35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4,9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30-34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8,6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61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8,5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35-39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11,6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65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9,1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40-44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68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9,5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45-49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10,3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76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10,6</w:t>
            </w:r>
          </w:p>
        </w:tc>
      </w:tr>
      <w:tr w:rsidR="00153671" w:rsidRPr="00153671" w:rsidTr="00153A5C">
        <w:tc>
          <w:tcPr>
            <w:tcW w:w="3535" w:type="dxa"/>
            <w:vAlign w:val="center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50-54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102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14,2</w:t>
            </w:r>
          </w:p>
        </w:tc>
      </w:tr>
      <w:tr w:rsidR="00153671" w:rsidRPr="00153671" w:rsidTr="00153A5C">
        <w:tc>
          <w:tcPr>
            <w:tcW w:w="3535" w:type="dxa"/>
            <w:vAlign w:val="bottom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 xml:space="preserve">над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153671">
                <w:rPr>
                  <w:sz w:val="24"/>
                  <w:szCs w:val="24"/>
                </w:rPr>
                <w:t>55 г</w:t>
              </w:r>
            </w:smartTag>
            <w:r w:rsidRPr="00153671">
              <w:rPr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886" w:type="dxa"/>
            <w:gridSpan w:val="5"/>
          </w:tcPr>
          <w:p w:rsidR="00153671" w:rsidRPr="00153671" w:rsidRDefault="00153671" w:rsidP="00153671">
            <w:pPr>
              <w:rPr>
                <w:sz w:val="24"/>
                <w:szCs w:val="24"/>
                <w:lang w:val="en-US"/>
              </w:rPr>
            </w:pPr>
            <w:r w:rsidRPr="00153671">
              <w:rPr>
                <w:sz w:val="24"/>
                <w:szCs w:val="24"/>
                <w:lang w:val="en-US"/>
              </w:rPr>
              <w:t>34,2</w:t>
            </w:r>
          </w:p>
        </w:tc>
        <w:tc>
          <w:tcPr>
            <w:tcW w:w="749" w:type="dxa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278</w:t>
            </w:r>
          </w:p>
        </w:tc>
        <w:tc>
          <w:tcPr>
            <w:tcW w:w="726" w:type="dxa"/>
            <w:gridSpan w:val="3"/>
          </w:tcPr>
          <w:p w:rsidR="00153671" w:rsidRPr="00153671" w:rsidRDefault="00153671" w:rsidP="00153671">
            <w:pPr>
              <w:rPr>
                <w:sz w:val="24"/>
                <w:szCs w:val="24"/>
              </w:rPr>
            </w:pPr>
            <w:r w:rsidRPr="00153671">
              <w:rPr>
                <w:sz w:val="24"/>
                <w:szCs w:val="24"/>
              </w:rPr>
              <w:t>38,7</w:t>
            </w:r>
          </w:p>
        </w:tc>
      </w:tr>
    </w:tbl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>Забележка.</w:t>
      </w:r>
      <w:r w:rsidRPr="0015367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Изчисленията са по данни на ДБТ – Никопол.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данни на ДБТ – Никопол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сключените  договори по програми за заетост и обучение,  за обучение на възрастни и по проекти по ОП „РЧР”  през 2019 г. -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36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-безработни лица, включени в програми за заетост и обучение, в мерки за обучение и в проекти по ОП „РЧР” през 2019 г.-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75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-безработни лица, включени в квалификационни курсове по НПДЗ през 2019 г.-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-наети лица на първичен пазар на труда през 2019 г.-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556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сравнение с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имаме увеличение на: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 лицата, наети на първичен пазар на труда /1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82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позиции за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същият период наблюдаваме намаляване на лицата, включени в програми за заетост и обучение /1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45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за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-сключените договори с работодатели /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43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за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Тенденции и процеси в икономиката -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производство и услуги, селско стопанство, горско стопанство, туризъм.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периода не се наблюдават съществени подобрения в икономическото развитие на общината като цяло. Тенденцията за нарастване на бруто продукцията се запазва, но със слаби темпове. 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 така преобладаващ е броя на малките фирми, като това са най-често семейни фирми в областта на търговията на дребно и селското стопанство, в които заетите лица са членове на фамилията.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наблюдават значителни промени в развитието на селското стопанство.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продължава изпълнението на проект “Мостовете на времето: Интегриран подход за подобряване на устойчивото използване на трансграничното културно наследство в Никопол и Турну Мъгуреле“ /“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Bridges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Time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An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Integrated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Approach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for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Improving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Sustainable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Use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Nikopol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Turnu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Magurele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Cross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border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Cultural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Heritage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153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.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Главната цел на проекта е да се подобри устойчивото използване на трансграничното културно наследство на гр.Никопол и гр.Турну Мъгуреле, чрез създаване, прилагане и промотиране на интегриран съвместен подход за инвестиране в устойчив туризъм. Проектът предвижда инвестиции в туристическа инфраструктура, интегрирани туристически продукти и услуги, ефективен маркетинг, повишаване на осведомеността, реализирано с активното участие на местните жители и заинтересованите страни, като по този начин ще се създаде трайна икономическа изгода от трансграничното културно наследство и увеличаване на туристически посещения и нощувки. Тези цели ще бъдат изпълнени чрез възстановяване на крепостта „Турну Мъгуреле” в гр.Турну Мъгуреле, изграждането на Археологически парк в гр.Никопол и автомобилен достъп до Скална църква в гр.Никопол. Също така ще бъдат създадени два клуба за исторически възстановки и 5-дневен трансграничен фестивал. Част от проекта са и провеждането на семинари, съвместна маркетингова стратегия, разработка на туристически продукти, информационен web-портал, приложение за смартфон, информационни терминали.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Реализирането на проекта ще допринесе за разгръщане на туристическия потенциал на общината.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Развитие на социалната сфера на общината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здравеопазване, образование, социални услуги, култура (зали, музеи, читалища и състави), спорт и отдих (спортни обекти), социална сигурност, пожарна безопасност и защита на населението.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Здравеопазване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Здравното обслужване на населението се осъществява от МБАЛ „Никопол“ ЕООД, Медицински център и дентални практики.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Недостигът на общо практикуващи лекари и лекари по дентална медицина продължава да е сериозен проблем в общината. Броят на личните лекари в кметствата се запазва през отчетния период  и един лекар продължава да посещава няколко населени места.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таблицата по-долу са представени данни за състоянието на здравеопазването в Община Никопол за оценявания период.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5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Здравеопазване</w:t>
      </w:r>
    </w:p>
    <w:tbl>
      <w:tblPr>
        <w:tblpPr w:leftFromText="141" w:rightFromText="141" w:vertAnchor="text" w:tblpY="1"/>
        <w:tblOverlap w:val="never"/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1193"/>
        <w:gridCol w:w="1071"/>
      </w:tblGrid>
      <w:tr w:rsidR="00153671" w:rsidRPr="00153671" w:rsidTr="00153A5C">
        <w:trPr>
          <w:tblHeader/>
        </w:trPr>
        <w:tc>
          <w:tcPr>
            <w:tcW w:w="4708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Лечебни заведения за болнична и извънболнична помощ и здравни заведения</w:t>
            </w:r>
          </w:p>
        </w:tc>
        <w:tc>
          <w:tcPr>
            <w:tcW w:w="1193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71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Лечебни  и  здравни заведения  в общината, брой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МБАЛ –ЕООД - НИКОПОЛ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Медицински персонал, брой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40</w:t>
            </w: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Легла в лечебните и здравни заведени - брой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МЦ – І ЕООД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 xml:space="preserve">Брой на  кабинетите  (Медицински персонал) 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Лични лекари, брой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210"/>
        </w:trPr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Лични лекари в Кметствата, брой 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153671" w:rsidRPr="00153671" w:rsidTr="00153A5C">
        <w:trPr>
          <w:trHeight w:val="345"/>
        </w:trPr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Здравни кабинети в детски градини и училища, брой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3671" w:rsidRPr="00153671" w:rsidTr="00153A5C">
        <w:trPr>
          <w:trHeight w:val="180"/>
        </w:trPr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В училища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rPr>
          <w:trHeight w:val="285"/>
        </w:trPr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В детски градини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153671" w:rsidRPr="00153671" w:rsidTr="00153A5C">
        <w:trPr>
          <w:trHeight w:val="260"/>
        </w:trPr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Медицински работници, брой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53671" w:rsidRPr="00153671" w:rsidTr="00153A5C">
        <w:tc>
          <w:tcPr>
            <w:tcW w:w="4708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Брой на лекарите по дентална медицина в общината</w:t>
            </w:r>
          </w:p>
        </w:tc>
        <w:tc>
          <w:tcPr>
            <w:tcW w:w="119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1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 w:type="textWrapping" w:clear="all"/>
      </w:r>
      <w:r w:rsidRPr="0015367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>Източник:</w:t>
      </w:r>
      <w:r w:rsidRPr="0015367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Община Никопол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Образование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Никопол функционират две училища – ОУ „Патриарх Евтимий“ с. Новачене и СУ „Христо Ботев“, гр. Никопол, които обхващат учениците от всички населени места – 1 град и 13 села.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отчетната учебна година броят на учениците е намалял осезаемо, а именно с 5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2, като 23 ученика са напуснали обучението.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 учебната 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броят на детските градини е  4. Броят на учениците намалява с относително постоянен темп.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повишаване  качеството на обучение и прилагане на мерки по предотвратяване на отпадането от училище се прилагат  мерки като подобряване на материално-техническата база на училищата и детските градини, прилагане на училищна програма за превенция на ранното отпадане на учениците  и реализиране на проекти по оперативни програми. 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2019 г. продължава изпълнението на :</w:t>
      </w:r>
    </w:p>
    <w:p w:rsidR="00153671" w:rsidRPr="00153671" w:rsidRDefault="00153671" w:rsidP="0015367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1.Национална програма „С грижа за всеки ученик”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2.Национална програма „Изграждане на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WI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FI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мрежа в училище”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таблицата по-долу са представени данни за сектор Образование.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6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1279"/>
        <w:gridCol w:w="1252"/>
      </w:tblGrid>
      <w:tr w:rsidR="00153671" w:rsidRPr="00153671" w:rsidTr="00153A5C">
        <w:trPr>
          <w:tblHeader/>
        </w:trPr>
        <w:tc>
          <w:tcPr>
            <w:tcW w:w="4482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279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уч.година</w:t>
            </w:r>
          </w:p>
        </w:tc>
        <w:tc>
          <w:tcPr>
            <w:tcW w:w="1252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уг.година</w:t>
            </w:r>
          </w:p>
        </w:tc>
      </w:tr>
      <w:tr w:rsidR="00153671" w:rsidRPr="00153671" w:rsidTr="00153A5C">
        <w:tc>
          <w:tcPr>
            <w:tcW w:w="448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Детски градини</w:t>
            </w:r>
          </w:p>
        </w:tc>
        <w:tc>
          <w:tcPr>
            <w:tcW w:w="127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153671" w:rsidRPr="00153671" w:rsidTr="00153A5C">
        <w:tc>
          <w:tcPr>
            <w:tcW w:w="448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в детските градини</w:t>
            </w:r>
          </w:p>
        </w:tc>
        <w:tc>
          <w:tcPr>
            <w:tcW w:w="127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125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141</w:t>
            </w:r>
          </w:p>
        </w:tc>
      </w:tr>
      <w:tr w:rsidR="00153671" w:rsidRPr="00153671" w:rsidTr="00153A5C">
        <w:tc>
          <w:tcPr>
            <w:tcW w:w="448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Училища  </w:t>
            </w:r>
          </w:p>
        </w:tc>
        <w:tc>
          <w:tcPr>
            <w:tcW w:w="127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448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Паралелки в общообразователни училища </w:t>
            </w:r>
          </w:p>
        </w:tc>
        <w:tc>
          <w:tcPr>
            <w:tcW w:w="127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5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</w:p>
        </w:tc>
      </w:tr>
      <w:tr w:rsidR="00153671" w:rsidRPr="00153671" w:rsidTr="00153A5C">
        <w:tc>
          <w:tcPr>
            <w:tcW w:w="448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Учащи </w:t>
            </w:r>
          </w:p>
        </w:tc>
        <w:tc>
          <w:tcPr>
            <w:tcW w:w="127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467</w:t>
            </w:r>
          </w:p>
        </w:tc>
        <w:tc>
          <w:tcPr>
            <w:tcW w:w="125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415</w:t>
            </w:r>
          </w:p>
        </w:tc>
      </w:tr>
      <w:tr w:rsidR="00153671" w:rsidRPr="00153671" w:rsidTr="00153A5C">
        <w:tc>
          <w:tcPr>
            <w:tcW w:w="448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Напуснали обучението </w:t>
            </w:r>
          </w:p>
        </w:tc>
        <w:tc>
          <w:tcPr>
            <w:tcW w:w="127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252" w:type="dxa"/>
          </w:tcPr>
          <w:p w:rsidR="00153671" w:rsidRPr="00153671" w:rsidRDefault="00153671" w:rsidP="0015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</w:t>
            </w:r>
          </w:p>
        </w:tc>
      </w:tr>
    </w:tbl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Източник:</w:t>
      </w:r>
      <w:r w:rsidRPr="0015367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Община Никопол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Социални услуги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2019 г. продължи предоставянето на социални услуги: Защитени жилища № 1 и № 2 за лица с психични разстройства в с. Драгаш войвода, община Никопол -преобразувани в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„Център за настаняване от семеен тип за пълнолетни лица с психични разстройства”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№1 и №2; Домашен социален патронаж; Клуб на пенсионера и инвалида; Домашен помощник и Социален асистент; Личен асистент; Обществена трапезария и Приемна грижа.</w:t>
      </w:r>
    </w:p>
    <w:p w:rsidR="00153671" w:rsidRPr="00153671" w:rsidRDefault="00153671" w:rsidP="00153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Центърът за обществена подкрепа /ЦОП/ продължава своята дейност и през отчетния период. Той е насочен към дейности, свързани с превенция на изоставянето, превенция на насилието, отпадане от училище, деинституциализация и реинтеграция на деца; извършване на социално и психологическо консултиране на деца и семейства в риск; оценяване на родителски капацитет, консултиране и подкрепа на деца с поведенчески проблеми, на приемни родители и кандидат осиновители, ще се реализират социални програми за деца и семейства в риск. </w:t>
      </w:r>
    </w:p>
    <w:p w:rsidR="00153671" w:rsidRPr="00153671" w:rsidRDefault="00153671" w:rsidP="00153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01.09.2019 г. Община Никопол предоставя услуга по „Механизъм лична помощ”. Към 31.12.2019 г.  за 40 потребителя  се грижат 40 лични асистенти, като броят им непрекъснато расте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153671" w:rsidRPr="00153671" w:rsidRDefault="00153671" w:rsidP="00153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01.10.2019 г. Община Никопол започна изпълнението на проект „Патронажна грижа в Община Никопол”. Основната цел на проекта е предоставяне на здравни, социални услуги и психологическа помощ на 51 потребители от цялата община. В същото време е осигурена заетост на 13 домашни помощници и 2 медицински сестри.</w:t>
      </w:r>
    </w:p>
    <w:p w:rsidR="00153671" w:rsidRPr="00153671" w:rsidRDefault="00153671" w:rsidP="00153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Общината продължава активната си работа по предоставяне на качествени социални услуги и защита на населението.  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Култура – зали, музеи, читалища и състави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 годината се наблюдава и активна дейност от страна на читалищата. За осигуряване на комфортна среда са вложени  средства по подобряване на материалната база. През отчетния период продължи обогатяването на културния афиш и развитие на културно-просветната  дейност. Община Никопол  активно партнираше на читалищата при изпълнение на дейности по:</w:t>
      </w:r>
    </w:p>
    <w:p w:rsidR="00153671" w:rsidRPr="00153671" w:rsidRDefault="00153671" w:rsidP="001536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качествени информационни услуги</w:t>
      </w:r>
    </w:p>
    <w:p w:rsidR="00153671" w:rsidRPr="00153671" w:rsidRDefault="00153671" w:rsidP="001536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консултантски услуги в подкрепа на личностното и обществено развитие на младите хора</w:t>
      </w:r>
    </w:p>
    <w:p w:rsidR="00153671" w:rsidRPr="00153671" w:rsidRDefault="00153671" w:rsidP="001536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услуги за организиране на свободното време на младите хора</w:t>
      </w:r>
    </w:p>
    <w:p w:rsidR="00153671" w:rsidRPr="00153671" w:rsidRDefault="00153671" w:rsidP="001536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конкурси</w:t>
      </w:r>
    </w:p>
    <w:p w:rsidR="00153671" w:rsidRPr="00153671" w:rsidRDefault="00153671" w:rsidP="001536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инициативи, кампании</w:t>
      </w:r>
    </w:p>
    <w:p w:rsidR="00153671" w:rsidRPr="00153671" w:rsidRDefault="00153671" w:rsidP="0015367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електронно приобщаване на младите хора в малките населени места-глобални библиотеки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Спорт и отдих – спортни обекти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при които се реализира ОПР не са променени в степен, която да предполага неговото изменение.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Инфраструктурно развитие, свързаност и достъпност на територията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техническа инфраструктура, в т.ч. Водоснабдяване, канализация и отпадъчни води, Електроенергийна система, Транспорт, пътна мрежа и комуникации.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при които се реализира ОПР не са променени в степен, която да предполага неговото изменение.</w:t>
      </w:r>
    </w:p>
    <w:p w:rsidR="00153671" w:rsidRPr="00153671" w:rsidRDefault="00153671" w:rsidP="001536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Значимите инвестиционни проекти са представени в Раздел ІІ. Постигнат напредък по изпълнението на целите и приоритетите на общинския план за развитие въз основа на индикаторите за наблюдение.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Състоянието на техническата инфраструктура продължава да изисква влагането на значителен по размер ресурс и мерки за подобряване и непрекъснато обновяване.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Екологично състояние и рискове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общо състояние на околната среда, въздух, води, почви, гори и биоразнообразие. Защитени видове растения и животни, шум, радиация и замърсявания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настъпила промяна съврзана с дейности по подобряване  на екологичното състояние на общината спрямо 2018 г.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Административен капацитет</w:t>
      </w:r>
    </w:p>
    <w:p w:rsidR="00153671" w:rsidRPr="00153671" w:rsidRDefault="00153671" w:rsidP="0015367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при които се реализира ОПР не са променени в степен, която да предполага неговото изменение.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Усвояване на средствата от ЕС и други източници на финансиране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администрация Никопол успява да реализира всички свои договорни ангажименти, показва висока активност при усвояването на средства от ЕС.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Възприетият подход за отчитане от общината приема за инвестиран ресурс предимно този, който е обект на реализирани проекти финансирани частично или изцяло с донорски средства. Следва да се отбележи, че общината е инвестирала и не малко собствени средства в подобряване общото състояние и условия на живот в общината.</w:t>
      </w:r>
    </w:p>
    <w:p w:rsidR="00153671" w:rsidRPr="00153671" w:rsidRDefault="00153671" w:rsidP="0015367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  <w:t xml:space="preserve"> </w:t>
      </w:r>
    </w:p>
    <w:p w:rsidR="00153671" w:rsidRPr="00153671" w:rsidRDefault="00153671" w:rsidP="0015367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bg-BG"/>
        </w:rPr>
        <w:t>ІІ. Постигнат напредък по изпълнението на целите и приоритетите на общинския план за развитие въз основа на индикаторите за наблюдение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приоритетни области  на ОПР са: устойчив растеж и икономическо развитие, постигане на социална кохезия чрез укрепване и развитие на човешкия капитал, техническа и инженерна инфраструктура, екологично развитие, укрепване на административния капацитет и развитие на нови професионални умения.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всяка от петте приоритетни области са поставени специфични цели, за постигането на които са определени мерки и конкретни проекти.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специфични цели обобщено са представени заложените пет приоритета и четиринадесет специфични цели, разпределени по приоритетни области.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Имаме значително намаление на общият брой на мерките по всички приоритети и специфични цели (35), и на подмерките  (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77) вследствие на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приетия актуализиран ОПР през 2017 г. Разпределението им е посочено в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№7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на специфични цели, мерки и подмерки  по приоритети.</w:t>
      </w:r>
    </w:p>
    <w:p w:rsidR="00153671" w:rsidRPr="00153671" w:rsidRDefault="00153671" w:rsidP="001536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</w:p>
    <w:p w:rsidR="00153671" w:rsidRPr="00153671" w:rsidRDefault="00153671" w:rsidP="00153671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7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 xml:space="preserve"> 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Брой на специфични цели, мерки и подмерки/проекти по приоритети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192"/>
        <w:gridCol w:w="1316"/>
        <w:gridCol w:w="2491"/>
      </w:tblGrid>
      <w:tr w:rsidR="00153671" w:rsidRPr="00153671" w:rsidTr="00153A5C">
        <w:trPr>
          <w:jc w:val="center"/>
        </w:trPr>
        <w:tc>
          <w:tcPr>
            <w:tcW w:w="1649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</w:t>
            </w:r>
          </w:p>
        </w:tc>
        <w:tc>
          <w:tcPr>
            <w:tcW w:w="2192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Специфични цели</w:t>
            </w:r>
          </w:p>
        </w:tc>
        <w:tc>
          <w:tcPr>
            <w:tcW w:w="1316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Мерки</w:t>
            </w:r>
          </w:p>
        </w:tc>
        <w:tc>
          <w:tcPr>
            <w:tcW w:w="2491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Подмерки / Проекти</w:t>
            </w:r>
          </w:p>
        </w:tc>
      </w:tr>
      <w:tr w:rsidR="00153671" w:rsidRPr="00153671" w:rsidTr="00153A5C">
        <w:trPr>
          <w:jc w:val="center"/>
        </w:trPr>
        <w:tc>
          <w:tcPr>
            <w:tcW w:w="164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1</w:t>
            </w:r>
          </w:p>
        </w:tc>
        <w:tc>
          <w:tcPr>
            <w:tcW w:w="219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</w:p>
        </w:tc>
      </w:tr>
      <w:tr w:rsidR="00153671" w:rsidRPr="00153671" w:rsidTr="00153A5C">
        <w:trPr>
          <w:jc w:val="center"/>
        </w:trPr>
        <w:tc>
          <w:tcPr>
            <w:tcW w:w="164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2</w:t>
            </w:r>
          </w:p>
        </w:tc>
        <w:tc>
          <w:tcPr>
            <w:tcW w:w="219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</w:p>
        </w:tc>
      </w:tr>
      <w:tr w:rsidR="00153671" w:rsidRPr="00153671" w:rsidTr="00153A5C">
        <w:trPr>
          <w:jc w:val="center"/>
        </w:trPr>
        <w:tc>
          <w:tcPr>
            <w:tcW w:w="164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3</w:t>
            </w:r>
          </w:p>
        </w:tc>
        <w:tc>
          <w:tcPr>
            <w:tcW w:w="219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</w:tr>
      <w:tr w:rsidR="00153671" w:rsidRPr="00153671" w:rsidTr="00153A5C">
        <w:trPr>
          <w:jc w:val="center"/>
        </w:trPr>
        <w:tc>
          <w:tcPr>
            <w:tcW w:w="164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4</w:t>
            </w:r>
          </w:p>
        </w:tc>
        <w:tc>
          <w:tcPr>
            <w:tcW w:w="219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153671" w:rsidRPr="00153671" w:rsidTr="00153A5C">
        <w:trPr>
          <w:jc w:val="center"/>
        </w:trPr>
        <w:tc>
          <w:tcPr>
            <w:tcW w:w="1649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5</w:t>
            </w:r>
          </w:p>
        </w:tc>
        <w:tc>
          <w:tcPr>
            <w:tcW w:w="2192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4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153671" w:rsidRPr="00153671" w:rsidRDefault="00153671" w:rsidP="00153671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val="en-US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Приложена е опростена тристепенна скала на оценяване: 1. „изпълнено” – при завършени стратегически инвестиционни проекти или дейности по съответна мярка и/или постигнат конкретен резултат; 2. ”в процес на изпълнение” – при наличие на изпълнени или в процес на изпълнение проекти/мерки; 3. ”неизпълнено” – при отсъствие на адресиран проект/дейност. Оценяването се извършва отдолу-нагоре, като колкото е по-висока оценката толкова оценката на постигнатите резултати е по-ниска.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№1 “Устойчив растеж и икономическо развитие“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осигуряване на устойчив растеж и икономическото развитие на Община Никопол са заложени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(две) специфични цели (СпЦ), постигането на които е предвидено да се реализира с прилагането на 7 (седем) мерки и 28 (двадесет и осем) подмерки.</w:t>
      </w: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от факта, че в над 85% от заложените мерки и проекти Община Никопол  не е пряк изпълнител и не може да предприеме реални действия по тяхното реализиране, а нейната ролята е единствено на подпомагаща и мотивираща институция, общината не е извършила действия по тяхната реализация, с незначителни изключения. Обобщена оценка на първоначалните резултати по описаният по-горе метод е дадена в Таблица №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Постигнати преки и косвени индикатори (представени по-долу в текста).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  <w:t>8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от изпълнение на Приоритет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  <w:gridCol w:w="1311"/>
      </w:tblGrid>
      <w:tr w:rsidR="00153671" w:rsidRPr="00153671" w:rsidTr="00153A5C">
        <w:trPr>
          <w:tblHeader/>
        </w:trPr>
        <w:tc>
          <w:tcPr>
            <w:tcW w:w="4371" w:type="pct"/>
            <w:shd w:val="clear" w:color="auto" w:fill="FDE9D9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Мярка/Подмярка/Проекти</w:t>
            </w:r>
          </w:p>
        </w:tc>
        <w:tc>
          <w:tcPr>
            <w:tcW w:w="629" w:type="pct"/>
            <w:shd w:val="clear" w:color="auto" w:fill="FDE9D9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153671" w:rsidRPr="00153671" w:rsidTr="00153A5C">
        <w:tc>
          <w:tcPr>
            <w:tcW w:w="5000" w:type="pct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Изграждане на подходяща бизнес среда и повишаване на инвестиционния интерес към общината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Подпомагане развитието на икономиката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Стратегия за развитие на икономиката в Община Никопол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511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Анализ на потребностите и подкрепа на бизнеса от страна на общината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пакет от инструменти за стимулиране на бизнеса на местно ниво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Маркетингово проучване на възможностите и дефиниране на потенциални инвеститори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контактите с чужди бизнес-партньори, организиране и участие в бизнес форуми и срещи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Промотиране на Община Никопол като туристическа и инвестиционна дестинация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2,86</w:t>
            </w:r>
          </w:p>
        </w:tc>
      </w:tr>
      <w:tr w:rsidR="00153671" w:rsidRPr="00153671" w:rsidTr="00153A5C">
        <w:trPr>
          <w:trHeight w:val="263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Стратегия за промотиране на Община Никопол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263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актуализирана общинска програма за алтернативен туризъм (2018-2020)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600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програма за визуална информация, ориентация и реклама на туристическото предлагане в общината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600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Подкрепа за туристическия информационен център чрез създаване на пълен актуализиращ се информационен и рекламен пакет 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371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Привличане на инвеститори за развитие на земеделието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rPr>
          <w:trHeight w:val="600"/>
        </w:trPr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Привличане на инвеститори в предприятия за преработка на плодове и зеленчуци (замразяване, сушене, консервиране, дестилиране)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4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Подпомагане участието на производителите в регионални, национални и международни изложения и панаири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Подпомагане развитието на селското стопанство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Стратегия за развитие на селското стопанство в Община Никопол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Подкрепа на млади фермери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Съдействие за комасация на необходимата земя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Информационна, методическа и организационна помощ за създаване на сдружения за напояване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4.Осигуряване на условия за инвестиции в Община Никопол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Устройствени проекти, уреждане на собствеността на земята, осигуряване на инфраструктура и маркетинг за привличане на инвеститори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специализирана устройствена схема за развитие на туризъм в общината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5000" w:type="pct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Създаване на подходяща за развитие на бизнеса инфраструктура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Техническа инфраструктура в подкрепа на бизнеса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Изграждане/обновяване на прилежащите комуникации към съществуващи производствени зони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широколентови комуникационни мрежи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Иницииране на публичен проект за обновяване и разширяване на напоителните полета и съоръжения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Подпомагане развитието на туризма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туристически продукт „Археологически и исторически училища на терен”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екопътеки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на пътната инфраструктура в туристическите ареали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Превръщане на р. Осъм и поречието на р.Дунав в привлекателно място за екотуризъм.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3.Изграждане на институционален капацитет за развитие на икономиката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индустриален (технологичен) парк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Модернизиране на базата на Общински пазари в гр. Никопол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4371" w:type="pct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земеделско тържище и борса</w:t>
            </w:r>
          </w:p>
        </w:tc>
        <w:tc>
          <w:tcPr>
            <w:tcW w:w="629" w:type="pct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първоначалните резултати от изпълнение на Приоритет №1 е изключително слаба. Липсата на реализирани или планирани дейности по изпълнение на мерките по приоритета насочи вниманието на администрацията на Община Никопол към преразглеждането им, което се направи с актуализирания документ на ОПР 2014 - 2020г. приет с Решение№ 272 от 28.11.-</w:t>
      </w:r>
      <w:smartTag w:uri="urn:schemas-microsoft-com:office:smarttags" w:element="metricconverter">
        <w:smartTagPr>
          <w:attr w:name="ProductID" w:val="2017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2017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  на Общинския съвет.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заложените преки (продукт) и косвени (резултат) индикатори към Приоритет № 1 отнасяме 20 индикатора, стойностите по които са посочени в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9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.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Постигнати преки и косвени резултати по Приоритет №1.</w:t>
      </w: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9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 косвени резултати по Приоритет №1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787"/>
        <w:gridCol w:w="1075"/>
        <w:gridCol w:w="2016"/>
      </w:tblGrid>
      <w:tr w:rsidR="00153671" w:rsidRPr="00153671" w:rsidTr="00153A5C">
        <w:trPr>
          <w:tblHeader/>
        </w:trPr>
        <w:tc>
          <w:tcPr>
            <w:tcW w:w="770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1"/>
            </w:r>
          </w:p>
        </w:tc>
        <w:tc>
          <w:tcPr>
            <w:tcW w:w="5787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075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2016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53671" w:rsidRPr="00153671" w:rsidTr="00153A5C">
        <w:tc>
          <w:tcPr>
            <w:tcW w:w="9648" w:type="dxa"/>
            <w:gridSpan w:val="4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ПРЕКИ ИНДИКАТОРИ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за създаване и подобряване на бизнес средата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Подобрени тържища и борси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обекти на местната бизнес инфраструктура (регионални бизнес офиси, изложбени зали, бизнес инкубатори, бизнес центрове, индустриални паркове, производствени зони, технопаркове, техноинкубатори и др.)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бр. 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в областта на селското и горското стопанство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Създадени „онлайн” административни услуги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Разработени и изпълнени проекти, подпомагащи реализацията на местни (вкл. за водни басейни) стратегии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Проведени културно-масови мероприятия на годишна база в т.ч етнографски фестивали и празници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Новосъздадени/подобрени туристически атракции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Стратегически програми за развитие на туризма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Новоизградени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и/или обновени туристически обекти 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Новоизградени/модернизирани културни обекти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Обновена пътна инфраструктура в туристическите ареали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2016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67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Съвместни маркетингови дейности за популяризиране на общината като туристическа дестинация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Международни туристически изложения/панаири, на които общината е представена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9648" w:type="dxa"/>
            <w:gridSpan w:val="4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КОСВЕНИ ИНДИКАТОРИ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Местни и чуждестранни инвестиции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хил.лв.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посетители на туристически и културни обекти и забележителности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хил. лева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Туристи, посетили туристически и културни обекти и забележителности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Новозалесени площи в горското стопанство.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МСП, получаващи финансова помощ за обучение (мащаб, тип, продължителност).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Фирми, разположени в бизнес паркове и/или техноинкубатори.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016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 2. Постигане на социална кохезия чрез укрепване и развитие на човешкия капитал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приоритета са определени 5 (пет) специфични цели, 13 (тринадесет) мерки и общо 19 (деветнадесет)  подмерки.</w:t>
      </w: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Постигнати преки и косвени индикатори по Приоритет №2 (представени по-долу в текста).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изпълнението на Приоритет №2 отнасяме следните реализирани проекти, представени по специфична цел и мярка, към които се отнасят: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1: Постигане на гъвкав пазар на труда и социална интеграция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2. Развитие на професионалните умения в подкрепа на местната икономическа активност и повишаване адаптивността на човешките ресурси</w:t>
      </w:r>
    </w:p>
    <w:p w:rsidR="00153671" w:rsidRPr="00153671" w:rsidRDefault="00153671" w:rsidP="001536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Действия за засилване на социалната интеграция на хората в неравностойно положение, в т.ч. хората, изложени на социално изключване, малцинствата и хората с увреждания.</w:t>
      </w:r>
    </w:p>
    <w:p w:rsidR="00153671" w:rsidRPr="00153671" w:rsidRDefault="00153671" w:rsidP="0015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подмярката  в процес на изпълнение са:</w:t>
      </w:r>
    </w:p>
    <w:p w:rsidR="00153671" w:rsidRPr="00153671" w:rsidRDefault="00153671" w:rsidP="0015367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1.Проект BG05M9OP001–2.040-0063 „Патронажна грижа в община Никопол“, Договор № BG05M9OP001–2.040-0063-С01/11.06.2019 г.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2014-2020. </w:t>
      </w:r>
    </w:p>
    <w:p w:rsidR="00153671" w:rsidRPr="00153671" w:rsidRDefault="00153671" w:rsidP="0015367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 цел на проекта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– патронажна грижа и изграждане на капацитет за предоставянето им.</w:t>
      </w:r>
    </w:p>
    <w:p w:rsidR="00153671" w:rsidRPr="00153671" w:rsidRDefault="00153671" w:rsidP="00153671">
      <w:pPr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цел изграждане модел за патронажна грижа за възрастни хора и лица с увреждания, включително с хронични заболявания и трайни увреждания, по проекта от 01.10.2019 г.  се предоставят почасови мобилни здравно – социални услуги в домашна среда на 51 потребители от община Никопол, съобразно разработената по Компонент 1 от Министерство на здравеопазването програма/методика за предоставяне на патронажна грижа и стандарти за качество на услугата. Всяко лице получава услуги до 2 часа дневно, за 12 месеца, считано от 01.10.2019 г., предоставени от екип от обучени по проекта специалисти, включващ 2 медицински сестри, 13 специалисти по социални дейности/домашни помощници/ и 1 психолог. 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стартиране:   01.07.2019 г.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приключване:  30.09.2020 г.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Продължителност:       15 месеца, от които 12 пряко предоставяне на услугата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на безвъзмездната финансова помощ: 146 881.67 лв.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 от ЕС, Европейски социален фонд (ЕСФ): 124 849.42 лв.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 финансиране: 22 032. 25 лв.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нуждите на  проекта след проведена обществена поръчка е закупен и доставен автомобил на стойност 28 752.00 лв.</w:t>
      </w:r>
    </w:p>
    <w:p w:rsidR="00153671" w:rsidRPr="00153671" w:rsidRDefault="00153671" w:rsidP="001536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2.Във връзка с прилагане на </w:t>
      </w:r>
      <w:r w:rsidRPr="001536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Закона за личната помощ,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№РД-07-7 от 28.06.2019 г. на Министъра на труда и социалната политика за включване в механизма лична помощ е подписано Споразумение между Националния осигурителен институт/НОИ/, Агенцията за социално подпомагане/АСП/ и Община Никопол /изх.№ 257/09.08.2019 г. за общината/, сключено съгласно чл.2, ал.11 от Наредбата.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Целеви групи по Механизма:</w:t>
      </w:r>
    </w:p>
    <w:p w:rsidR="00153671" w:rsidRPr="00153671" w:rsidRDefault="00153671" w:rsidP="0015367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 с право на чужда помощ с определени 90 и над 90 на сто вид и степен на увреждане или степен на трайно намалена работоспособност;</w:t>
      </w:r>
    </w:p>
    <w:p w:rsidR="00153671" w:rsidRPr="00153671" w:rsidRDefault="00153671" w:rsidP="0015367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с право на чужда помощ с определени 50 и над 50 на сто вид и степен на увреждане или степен на трайно намалена работоспособност;</w:t>
      </w:r>
    </w:p>
    <w:p w:rsidR="00153671" w:rsidRPr="00153671" w:rsidRDefault="00153671" w:rsidP="0015367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без право на чужда помощ с определени 90 и над 90 на сто вид и степен на увреждане или степен на трайно намалена работоспособност.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Предоставянето на лична помощ за хората с увреждания е с начало 01 септември 2019 г. Отворен процес. Към края на 2019 г. има подписани договори с 40 лични асистенти, грижещи се за 40 потребителя.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3.Проект „Приеми ме 2015“, вече с нов, областен модел на управление. За община Никопол професионалните приемни семейства са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настанени 2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 в тях. Проектът е с продължителност до </w:t>
      </w:r>
      <w:smartTag w:uri="urn:schemas-microsoft-com:office:smarttags" w:element="metricconverter">
        <w:smartTagPr>
          <w:attr w:name="ProductID" w:val="2021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2021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3671" w:rsidRPr="00153671" w:rsidRDefault="00153671" w:rsidP="0015367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4.По  проект „Осигуряване на топъл обяд в Община Никопол“ по Оперативна програма за храни и /или основно материално подпомагане, Фонд за европейско подпомагане на най – нуждаещи се лица.  Топъл обяд получават 125 потребители, от които 70 от гр.Никопол и 55 от с.Новачене. По проекта се предоставят и съпътстващи мерки, свързани с консултиране, предоставяне на информация за различни социални услуги, финансово консултиране, здравословно хранене, насочване за предоставяне на социални помощи, съдействие при попълване на документи, достъп до здравни образователни услуги и др. </w:t>
      </w:r>
    </w:p>
    <w:p w:rsidR="00153671" w:rsidRPr="00153671" w:rsidRDefault="00153671" w:rsidP="001536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Проектните дейности продължават до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2.20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53671" w:rsidRPr="00153671" w:rsidRDefault="00153671" w:rsidP="001536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008080"/>
          <w:sz w:val="24"/>
          <w:szCs w:val="24"/>
          <w:lang w:eastAsia="bg-BG"/>
        </w:rPr>
        <w:tab/>
        <w:t xml:space="preserve">     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4.По схемата „ Нова възможност за младежка заетост” по ОП РЧР </w:t>
      </w:r>
      <w:smartTag w:uri="urn:schemas-microsoft-com:office:smarttags" w:element="metricconverter">
        <w:smartTagPr>
          <w:attr w:name="ProductID" w:val="2014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2014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smartTag w:uri="urn:schemas-microsoft-com:office:smarttags" w:element="metricconverter">
        <w:smartTagPr>
          <w:attr w:name="ProductID" w:val="-2020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-2020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Бюро по труда Никопол в края на 2019 г. са наети на работа 5 безработни лица до 29 годишна възраст на длъжност „общ работник”.</w:t>
      </w:r>
    </w:p>
    <w:p w:rsidR="00153671" w:rsidRPr="00153671" w:rsidRDefault="00153671" w:rsidP="001536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2: Повишаване качеството на образованието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2. Включване на информационните и комуникационните технологии в училищата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Резултатите постигнати по мярката са:</w:t>
      </w:r>
    </w:p>
    <w:p w:rsidR="00153671" w:rsidRPr="00153671" w:rsidRDefault="00153671" w:rsidP="00153671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</w:rPr>
        <w:t xml:space="preserve">Изграждане на безжична  (тип </w:t>
      </w:r>
      <w:r w:rsidRPr="00153671">
        <w:rPr>
          <w:rFonts w:ascii="Times New Roman" w:eastAsia="Calibri" w:hAnsi="Times New Roman" w:cs="Times New Roman"/>
          <w:lang w:val="en-US"/>
        </w:rPr>
        <w:t>WiFi</w:t>
      </w:r>
      <w:r w:rsidRPr="00153671">
        <w:rPr>
          <w:rFonts w:ascii="Times New Roman" w:eastAsia="Calibri" w:hAnsi="Times New Roman" w:cs="Times New Roman"/>
          <w:lang w:val="ru-RU"/>
        </w:rPr>
        <w:t xml:space="preserve">) </w:t>
      </w:r>
      <w:r w:rsidRPr="00153671">
        <w:rPr>
          <w:rFonts w:ascii="Times New Roman" w:eastAsia="Calibri" w:hAnsi="Times New Roman" w:cs="Times New Roman"/>
        </w:rPr>
        <w:t>мрежа в ОУ „Патриарх Евтимий” с .Новачене  на стойност 8 050.00 лв</w:t>
      </w:r>
    </w:p>
    <w:p w:rsidR="00153671" w:rsidRPr="00153671" w:rsidRDefault="00153671" w:rsidP="00153671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</w:rPr>
        <w:t xml:space="preserve">Изграждане на безжична  (тип </w:t>
      </w:r>
      <w:r w:rsidRPr="00153671">
        <w:rPr>
          <w:rFonts w:ascii="Times New Roman" w:eastAsia="Calibri" w:hAnsi="Times New Roman" w:cs="Times New Roman"/>
          <w:lang w:val="en-US"/>
        </w:rPr>
        <w:t>WiFi</w:t>
      </w:r>
      <w:r w:rsidRPr="00153671">
        <w:rPr>
          <w:rFonts w:ascii="Times New Roman" w:eastAsia="Calibri" w:hAnsi="Times New Roman" w:cs="Times New Roman"/>
          <w:lang w:val="ru-RU"/>
        </w:rPr>
        <w:t xml:space="preserve">) </w:t>
      </w:r>
      <w:r w:rsidRPr="00153671">
        <w:rPr>
          <w:rFonts w:ascii="Times New Roman" w:eastAsia="Calibri" w:hAnsi="Times New Roman" w:cs="Times New Roman"/>
        </w:rPr>
        <w:t>мрежа в СУ „Христо Ботев” гр.Никопол на стойност 8 000.00 лв</w:t>
      </w:r>
    </w:p>
    <w:p w:rsidR="00153671" w:rsidRPr="00153671" w:rsidRDefault="00153671" w:rsidP="00153671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</w:rPr>
        <w:t>Изграждане на система за видеонаблюдение в СУ „Христо Ботев” гр.Никопол на стойност 6 139.00 лв.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3: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Подобряване на здравните услуги и свободния достъп до тях</w:t>
      </w:r>
    </w:p>
    <w:p w:rsidR="00153671" w:rsidRPr="00153671" w:rsidRDefault="00153671" w:rsidP="0015367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Закупена Дигитализираща система за рентгенови образи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CR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МБАЛ Никопол на стойност 29 976.00 лв.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4: Развитие на културата, спорта и младежките дейности</w:t>
      </w:r>
    </w:p>
    <w:p w:rsidR="00153671" w:rsidRPr="00153671" w:rsidRDefault="00153671" w:rsidP="001536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Развитие на културата, опазването и експонирането на културно-историческото наследство.</w:t>
      </w:r>
    </w:p>
    <w:p w:rsidR="00153671" w:rsidRPr="00153671" w:rsidRDefault="00153671" w:rsidP="001536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 постигнати по мярката са :</w:t>
      </w:r>
    </w:p>
    <w:p w:rsidR="00153671" w:rsidRPr="00153671" w:rsidRDefault="00153671" w:rsidP="0015367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Опазване, експониране, социализиране и популяризиране на културно-историческото наследство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е одобрена и подписа  договор по Програмата за трансгранично  сътрудничество Румъния – България 2014 – 2020,</w:t>
      </w:r>
      <w:r w:rsidRPr="00153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Приоритетна ос 2: </w:t>
      </w:r>
      <w:r w:rsidRPr="0015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По-добре свързан регион</w:t>
      </w:r>
      <w:r w:rsidRPr="001536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Специфична цел 2.1: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Подобряване на устойчивото използване на природното наследство, ресурси и културно наследство на </w:t>
      </w:r>
      <w:r w:rsidRPr="0015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Програмата Интеррег V-A Румъния – България</w:t>
      </w:r>
      <w:r w:rsidRPr="0015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2014 – </w:t>
      </w:r>
      <w:smartTag w:uri="urn:schemas-microsoft-com:office:smarttags" w:element="metricconverter">
        <w:smartTagPr>
          <w:attr w:name="ProductID" w:val="2020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bg-BG"/>
          </w:rPr>
          <w:t>2020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bg-BG"/>
        </w:rPr>
        <w:t>. –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проект “Мостовете на времето: Интегриран подход за подобряване на устойчивото използване на трансграничното културно наследство в Никопол и Турну Мъгуреле“ /“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Bridges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Time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An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Integrated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Approach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for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Improving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the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Sustainable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Use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of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Nikopol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Turnu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Magurele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Cross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border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Cultural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Heritage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</w:t>
      </w:r>
      <w:r w:rsidRPr="001536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 бюджет – 5 836 225,82 евро (85% ЕФРР, 13% от българският и румънският държавен бюдежт и 2% от самофинансиране от страна на бенифициентите). Продължава изпълнението на проекта.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5: Развитие на социалните услуги и интеграция на уязвимите групи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Мярка 1. Развитие на социалните услуги </w:t>
      </w:r>
    </w:p>
    <w:p w:rsidR="00153671" w:rsidRPr="00153671" w:rsidRDefault="00153671" w:rsidP="001536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Ремонт и модернизация на средата и условията в социалните заведения</w:t>
      </w:r>
    </w:p>
    <w:p w:rsidR="00153671" w:rsidRPr="00153671" w:rsidRDefault="00153671" w:rsidP="001536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Резултатите постигнати по мярката са</w:t>
      </w:r>
    </w:p>
    <w:p w:rsidR="00153671" w:rsidRPr="00153671" w:rsidRDefault="00153671" w:rsidP="00153671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Основен ремонт на инсталация за парно отопление на твърдо гориво в ЦНСТПЛПР №1 и №2 с.Драгаш войвода на обща стойност 10 863.00 лв.</w:t>
      </w:r>
    </w:p>
    <w:p w:rsidR="00153671" w:rsidRPr="00153671" w:rsidRDefault="00153671" w:rsidP="00153671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Закупен автомобил „Рено меган естейт” по проект „Патронажна грижа в община Никопол” на стойност 28 752.00 лв.</w:t>
      </w:r>
    </w:p>
    <w:p w:rsidR="00153671" w:rsidRPr="00153671" w:rsidRDefault="00153671" w:rsidP="00153671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Закупен употребяван автомобил за ЦНСТПЛПР №1 и №2 с.Драгаш войвода на обща стойност 4 900.00 лв.</w:t>
      </w:r>
    </w:p>
    <w:p w:rsidR="00153671" w:rsidRPr="00153671" w:rsidRDefault="00153671" w:rsidP="00153671">
      <w:pPr>
        <w:numPr>
          <w:ilvl w:val="1"/>
          <w:numId w:val="18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 проект „Подобрени социални услуги в Домашен социален патронаж гр.Никопол, чрез модернизиране на кухненското оборудване”.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16.04.2019 г. между Фонд „Социална закрила” към МТСП и Община Никопол беше подписан Договор за съвместна дейност №РД04-10/16.04.2019 г. за закупуване, доставка и монтаж на оборудване и обзавеждане  по проект „Подобрени социални услуги в Домашен социален патронаж гр.Никопол, чрез модернизиране на кухненското оборудване”.</w:t>
      </w:r>
    </w:p>
    <w:p w:rsidR="00153671" w:rsidRPr="00153671" w:rsidRDefault="00153671" w:rsidP="0015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Общата цел на проекта е подобряване качеството на живот на самотно живеещи възрастните хора и хора с увреждания от Община Никопол чрез подобряване материалната база на Домашен социален патронаж гр. Никопол за предоставяне на качествени услуги „Домашен социален патронаж” и „обществена трапезария” в съответствие с европейските хигиенни изисквания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приготвянето на здравословна храна. </w:t>
      </w:r>
    </w:p>
    <w:p w:rsidR="00153671" w:rsidRPr="00153671" w:rsidRDefault="00153671" w:rsidP="001536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Проектът е на обща стойност 26 933,16 лв, като 24 239,84 лв са от Фонд „Социална закрила” и 2 693,32 лв са собствено финансово участие на Община Никопол.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Доставено е и монтирано оборудване и обзавеждане, включващо печки, пекарна, зеленчукорезачка, котлони, мивки.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№2 на Общинския план за развитие на Община Никопол за оценявания период, може да бъде направена оценка на първоначалните резултати, която е представена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в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0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,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0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по Приоритет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  <w:gridCol w:w="1045"/>
      </w:tblGrid>
      <w:tr w:rsidR="00153671" w:rsidRPr="00153671" w:rsidTr="00153A5C">
        <w:trPr>
          <w:tblHeader/>
        </w:trPr>
        <w:tc>
          <w:tcPr>
            <w:tcW w:w="0" w:type="auto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 w:type="page"/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Мярка/Подмярка/Проекти</w:t>
            </w:r>
          </w:p>
        </w:tc>
        <w:tc>
          <w:tcPr>
            <w:tcW w:w="0" w:type="auto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Постигане на гъвкав пазар на труда и социална интеграция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Изграждане на информационна система за търсената от инвеститори работна сила и предлаганите специалисти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на системата за работа с работодателите, с цел максималното им обхващане и насърчаване за използване на предлаганите от ДБТ Никопол</w:t>
            </w:r>
            <w:r w:rsidRPr="0015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услуги по заетостта, съобразно ситуацията на пазара на труда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професионалните умения в подкрепа на местната икономическа активност и повишаване адаптивността на човешките ресурси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Развиване на връзки между социалните и икономическите партньори и мониторинг на чуждите пазари на труда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Повишаване качеството на образованието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Обновяване на сградния фонд и оборудването на училищата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Включване на информационните и комуникационните технологии в училищата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Насърчаване населението за включване в образователната система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4. Общинска стратегия за подкрепа за личностно развитие на децата и учениците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5. Последващо и продължаващо обучение и обучение през целия живот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3: Подобряване на здравните услуги и свободния достъп до тях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Мярка 1. Провеждане на общинска политика в сектор „Здравеопазване” 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международни проекти и здравни мрежи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условия за привличане на медицински специалисти 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на сградния фонд на здравната система и болницата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4: Развитие на културата, спорта и младежките дейности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Развитие на културата, опазването и експонирането на културно-историческото наследство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Инвестиции за обновяване на културните институции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Опазване, експониране, социализиране и популяризиране на културно-историческото наследство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 предприемачеството в сферата на културата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спорта и местата за отдих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Подпомагане на спортните клубове в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и подобряване на местата за спорт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крайдунавски паркове в селищата по брега на река Дунав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Развитие на младежките дейности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Подпомагане на художествените и самодейни клубове в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5: Развитие на социалните услуги и интеграция на уязвимите групи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Развитие на социалните услуги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2,25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и модернизация на средата и условията в социалните заведения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хоспис, осигуряващ грижи за пациенти с нисък социален статус, инвалидизирани и изпаднали в безпомощно състояние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състоянието и повишаване капацитета на социалните и защитени жилища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 на общностен център за деца и семейства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Интеграция на уязвимите групи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1,67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 достъпа на уязвимите групи до образование, на активно поведение на трудовия пазар и др.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достъпа на хора с увреждания до обществени места, сгради, транспорт, обществена информация и др.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Действия за засилване на социалната интеграция на хората в неравностойно положение, в т.ч. хората, изложени на социално изключване, малцинствата и хората с увреждания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Предприетите действия и реализирани проекти от общината са по посока поддържане на текущото състояние по приоритета, с цел неговото запазване и в много малка степен трайно подобряване. Следва да се отбележи факта, че общината полага значителни усилия и се старае да оползотвори възможностите предоставени от Европейските структурни фондове, които се явяват и основен източник на финансов ресурс за изпълнение както на приоритета, така и на ОПР, като цяло.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Обобщение на постигнатите резултати от изпълнението на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Приоритет №2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представени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в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1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,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1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 косвени индикатори по Приоритет №2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023"/>
        <w:gridCol w:w="1075"/>
        <w:gridCol w:w="1832"/>
      </w:tblGrid>
      <w:tr w:rsidR="00153671" w:rsidRPr="00153671" w:rsidTr="00153A5C">
        <w:trPr>
          <w:tblHeader/>
        </w:trPr>
        <w:tc>
          <w:tcPr>
            <w:tcW w:w="770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2"/>
            </w:r>
          </w:p>
        </w:tc>
        <w:tc>
          <w:tcPr>
            <w:tcW w:w="6023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075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832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31.12.2019 г.</w:t>
            </w:r>
          </w:p>
        </w:tc>
      </w:tr>
      <w:tr w:rsidR="00153671" w:rsidRPr="00153671" w:rsidTr="00153A5C">
        <w:tc>
          <w:tcPr>
            <w:tcW w:w="9700" w:type="dxa"/>
            <w:gridSpan w:val="4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ПРЕКИ ИНДИКАТОРИ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за подобряване техническата и инженерна инфраструктура за предоставяне на социални услуги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проекти за подобряване и диверсификация на институционална среда за предоставяне на социални услуги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проекти за повишаване капацитета на социални заведения в общината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проекти за участие в образователни и обучителни схеми 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Осигурени компютърни конфигурации в училищата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 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Новоизградени детски и спортни площадки и др.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9700" w:type="dxa"/>
            <w:gridSpan w:val="4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КОСВЕНИ ИНДИКАТОРИ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 на безработицата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Равнище на средната работна заплата*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Сключени договори с работодатели по мерките за насърчаване на заетостта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Безработни лица, включени в мерките за насърчаване на заетостта.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Включени безработни лица в квалификационни курсове.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наети в предприятия</w:t>
            </w:r>
          </w:p>
        </w:tc>
        <w:tc>
          <w:tcPr>
            <w:tcW w:w="1075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832" w:type="dxa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556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 3. Техническа и инженерна инфраструктура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приоритета са дефинирани 2 (две) специфични цели, 4 (четири) мерки и общо 17 подмерки. Постигнати преки и косвени индикатори по Приоритет №3 (представени по-долу в текста). Към изпълнението на Приоритет №3 отнасяме следните реализирани проекти, обособени по специфични цели на ОПР: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1: Обновяване и доизграждане на техническата инфраструктура, стимулираща развитието на конкурентноспособна общинска икономика, респективно доходите на населението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 Подобряване параметрите и състоянието на транспортната инфраструктура с регионална значимост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процес на изпълнение е  проект „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TEN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Подобрени третостепенни възли Турну Мъгуреле-Никопол за устойчиво развитие на района, за по-добра връзка с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TEN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инфраструктурата”( Реконструкция и рехабилитация на общински път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PVN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3123/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-304,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Трънчовица-Новачене/Бацова махала-граница общ. (Никопол-Плевен)-Славяново/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PVN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2145/).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2.Енергийна ефективност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на оценка действия са предприети по една от подмерките/проекти, а именно: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Топлинно саниране на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многофамилни жилищни и  обществени сгради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(задължително по Закона за енергийната ефективност) по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Оперативна програма „Региони в растеж”, Приоритетна  ос</w:t>
      </w:r>
      <w:r w:rsidRPr="00153671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 „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Подкрепа за енергийна ефективност в опорни центрове в периферните райони</w:t>
      </w:r>
      <w:r w:rsidRPr="00153671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”,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процедура„ЕНЕРГИЙНА ЕФЕКТИВНОСТ В ПЕРИФЕРНИТЕ РАЙОНИ-3”</w:t>
      </w:r>
      <w:r w:rsidRPr="00153671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 и к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 на процедураBG16RFOP001-2.003</w:t>
      </w:r>
      <w:r w:rsidRPr="00153671">
        <w:rPr>
          <w:rFonts w:ascii="Courier New" w:eastAsia="Times New Roman" w:hAnsi="Courier New" w:cs="Courier New"/>
          <w:color w:val="333333"/>
          <w:sz w:val="20"/>
          <w:szCs w:val="20"/>
          <w:lang w:eastAsia="bg-BG"/>
        </w:rPr>
        <w:t xml:space="preserve">.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Общата цел на проекта е повишаване на енергийната ефективност на домовете на територията на град Никопол. Осъществяване на рентабилна експлоатация на сградите, което ще позволи устойчиво да продължи използването и поддържането им с оглед да се подобрят условията на живот на обитателите на сградите. Специфичните цели на проекта са следните: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Повишаване на енергийната ефективност на три многофамилни жилищни сгради;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Достигане на най-малко клас "С" на енергопотребление;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Намаляване на разходите за енергия;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По-високо ниво на енергийна ефективност, което пряко да допринесе за намаляване на крайното енергийно потребление и косвено - за намаляване на емисиите на парникови газове в малките градове - опорни центрове на полицентричната система, съгласно НКПР 2013-2025;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Осигуряване на по-добро качество на въздуха и условия за живот в съответствие с критериите за устойчиво развитие;</w:t>
      </w:r>
    </w:p>
    <w:p w:rsidR="00153671" w:rsidRPr="00153671" w:rsidRDefault="00153671" w:rsidP="00153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Подобряване на експлоатационните характеристики за удължаване на жизнения цикъл на сградите.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2: Обновяване и доизграждане на техническата инфраструктура, подобряваща жизнената среда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 Създаване и прилагане на стратегически подход при управлението на техническата инфраструктура в общината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 постигнати по мярката са: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Общата дължина на реконструираните и ремонтирани улици е 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1037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м.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Рехабилитация на улици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 обекти по населени места: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гр.Никопол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ул.”Л.Дочев”  на стойност 44 061,00 лв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ул.’Витоша” на стойност 4 753,00 лв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с. Лозица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ул.”Г.С.Раковски” на стойност 23 846,00 лв. и укрепване на скат на ул.”Г.С.Раковски” на стойност 13 102,00 лв.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с. Любеново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ул.”Л.Деков”, ул.”Хр.Ботев”, ул.”Н.Й.Вапцаров”, ул.”Радецки”, ул.”П.Яворов” на стойност 34 187,00 лв.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с. Въбел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-Основен ремонт на път за гробищен парк на стойност 15 614,00 лв.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следва да се отбележи следното: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 проект  по Красива България -„Основен ремонт и реконструкция на бивша сграда „Дом на офицера” за „ Многофункционален културно-исторически експозиционен комплекс”-Никопол, в кв.39 по регулационен план-ПИ с идентификатор 51723.500.563, гр.Никопол, ул.”В.Левски” №51, етап 1. Реализирания проект е на стойност 162 355,00 лв.</w:t>
      </w:r>
    </w:p>
    <w:p w:rsidR="00153671" w:rsidRPr="00153671" w:rsidRDefault="00153671" w:rsidP="0015367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Окончателно завършено благоустрояване и паркоустрояване на зелена площ в ПИ №1154 в кв.39, Никопол, (ДНА-кино)-изградена детска площадка на стойност 95 227,00 лв.</w:t>
      </w:r>
    </w:p>
    <w:p w:rsidR="00153671" w:rsidRPr="00153671" w:rsidRDefault="00153671" w:rsidP="0015367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Разработено и подадено проектно предложение: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„Реконструкция, рехабилитация и обновяване на обекти на територията на община Никопол“  Подобект 1„Реконструкция и рехабилитация на улица „Васил Левски“ село Черковица, Община Никопол“ Подобект 2 „Обновяване на крайбрежен парк „Ливингстън“ по  Програма за развитие на селските райони,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Приоритетна ос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Подкрепа за местно развитие по LEADER (ВОМР — водено от общностите местно развитие)</w:t>
      </w:r>
    </w:p>
    <w:p w:rsidR="00153671" w:rsidRPr="00153671" w:rsidRDefault="00153671" w:rsidP="001536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 на процедура„МИГ Белене – Никопол, Мярка 7.2 „Инвестиции в създаването, подобряването или разширяването на всички видове малка по мащаби инфраструктура“ и код на процедураBG06RDNP001-19.253.</w:t>
      </w:r>
    </w:p>
    <w:p w:rsidR="00153671" w:rsidRPr="00153671" w:rsidRDefault="00153671" w:rsidP="0015367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         Основната цел на проектното предложение е реализация на инвестиции в областта на      транспортната инфраструктура на територията на община Никопол и насърчаване на социалното приобщаване и повишаване качеството живот в гр. Никопол и общината като цяло, чрез подобряване на материалната база и осигуряване на здравословна и безопасна среда на населението. Стойност  на проекта 391 104,62.</w:t>
      </w:r>
    </w:p>
    <w:p w:rsidR="00153671" w:rsidRPr="00153671" w:rsidRDefault="00153671" w:rsidP="0015367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На 09.05.2019 г. бе подписан договор с ДФ Земеделие за изпълнение на проект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"Реконструкция и рехабилитация на улици в Община Никопол"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Програма за развитие на селските райони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Приоритетна ос: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Основни услуги и обновяване на селата в селските райони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 чрез подбор № BG06RDNP001-7.001 Улици 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код на процедура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BG06RDNP001-7.001 .Проектът е на стойност </w:t>
      </w:r>
      <w:r w:rsidRPr="00153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1 172 464.86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лв и е с период на изпълнение 36 месеца. Основната цел на проектното предложение е реализация на инвестиции в областта на транспортната инфраструктура на територията на община Никопол. Проектът включва интервенции върху част от уличната мрежа в населени места в Община Никопол, общинска собственост- дейности по изготвяне на инвестиционен проект във фаза "Технически", осъществяване на авторски и строителен надзор, консултантски услуги преди подаване на проектното предложение и за управление и отчитане на проекта и изпълнение на строително-монтажните работи.</w:t>
      </w:r>
    </w:p>
    <w:p w:rsidR="00153671" w:rsidRPr="00153671" w:rsidRDefault="00153671" w:rsidP="0015367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21.05.2019 г. бе подписан договор с ДФ Земеделие за изпълнение на  проект „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Никопол” по Програма за развитие на селските райони, Приоритетна ос „Основни услуги и обновяване на селата в селските райони”, процедура чрез подбор - 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 и код на процедура: BG06RDNP001-7.006. Проектът е на стойност 632 288,44 лв и е с период на изпълнение 36 месеца. </w:t>
      </w:r>
      <w:r w:rsidRPr="001536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Той предвижда цялостно реконструиране и обновяване на „Централен площад“, находящ се в УПИ І - 19, 1128, 1205, 1171 в кв. 24 в гр. Никопол. Дейностите включват: обновяване на площадното пространство- подмяна на настилките (където е необходимо), обособяване на група фонтани; изграждане на главен парков елемент със стъпаловидна структура и мини амфитеатрални форми за сядане, с художествено осветление; Заложено е поставянето на различни архитектурни елементи – кашпи, пейки, кошчета за смет, информационни табели, разположени така, че да не възпрепятстват свободното преминаване на ползвателите с увреждания. След приключване на дейностите по вертикалната планировка и почистване от строителните материали, зелените площи ще бъдат обработени и отново затревени Съществуващата растителност ще се обогати с храстови групи и цветни акценти. Ще се използват едроразмерни растения - декоративни вечнозелени, листопадни и красиво цъфтящи дървета, храсти и др., съобразени с инфраструктурните особености на терена.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№3 на Общинския план за развитие на Община Никопол за оценявания период, може да бъде направена оценка на първоначалните резултати, която е представена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2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2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от изпълнението на Приоритет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  <w:gridCol w:w="1077"/>
      </w:tblGrid>
      <w:tr w:rsidR="00153671" w:rsidRPr="00153671" w:rsidTr="00153A5C">
        <w:trPr>
          <w:tblHeader/>
        </w:trPr>
        <w:tc>
          <w:tcPr>
            <w:tcW w:w="0" w:type="auto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 w:type="page"/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</w:t>
            </w:r>
          </w:p>
        </w:tc>
        <w:tc>
          <w:tcPr>
            <w:tcW w:w="0" w:type="auto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Обновяване и доизграждане на техническата инфраструктура, стимулираща развитието на конкурентоспособна общинска икономика, респективно доходите на населението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Подобряване параметрите и състоянието на транспортната инфраструктура с регионална значимост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2,86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Доизграждането и модернизацията на крайдунавския крайбрежен път от Видин до Силистра, включително и изграждане на велосипедна алея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на път ІІ-11, Оряхово-Гиген-Брест-Гулянци-(Дебово-Никопол), км 154+100 - км 172+156 и км 196+147 - км 213+647 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на РП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-3404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Дебово – Българене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 на РП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-3404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Дебово – Любеново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1"/>
                <w:numId w:val="13"/>
              </w:numPr>
              <w:spacing w:before="60"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на път ІІ-52, Свищов - Деков - Бяла вода - Никопол, км 64+500 - км 102+724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и реконструкция на участъци от третокласната пътна мрежа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и модернизиране на пристанището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Развитие на фериботния комплекс 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Енергийна ефективност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2,29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 програма за енергийна ефективност и възобновяеми енергийни източници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Реализиране на програма за газификация на общински обекти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Топлинно саниране на големите обществени сгради (задължително по Закона за енергийната ефективност)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и приемане на общинска програма за обновяване на жилищата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Подмяна на уличното осветление с енергоефективно – (сменени на 95% лампи)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Стимулиране ползването на алтернативни/възобновяеми енергийни източници (масово информиране за предимствата и възможностите)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Битова газификация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Изграждане, разширяване и поддържане на техническата инфраструктура, подобряваща жизнената среда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Създаване и прилагане на стратегически подход при управлението на техническата инфраструктура в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2,33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и поддържане на водоснабдителната мрежа и осигуряване на постоянно подаване на питейна вода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съоръжения за предотвратяване на свлачищата в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на общинската пътна мрежа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на улици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Изграждане, отводняване и стабилизиране на селскостопанските пътища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Изграждане на канализационната мрежа и осигуряване пречистването на отпадъчните води чрез изграждане на ПСОВ и довеждаща инфраструктура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</w:tbl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Изпълнените дейности и реализирани проекти частично и косвено се отнасят до изпълнението на ОПР 2014-2020, но постигнатите резултати обслужват целите поставени в стратегическия документ. </w:t>
      </w: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от  това общината полага значителни усилия, като успява до голяма степен със собствени средства да поддържа в добро състояние и създава подходящи условия за живот и развитие на икономиката, инженерната и техническа инфраструктура на територията на Общината.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Обобщение на постигнатите резултати от изпълнението на Приоритет №3 са представени в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3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,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3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.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индикатори по Приоритет №3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28"/>
        <w:gridCol w:w="2115"/>
        <w:gridCol w:w="11"/>
      </w:tblGrid>
      <w:tr w:rsidR="00153671" w:rsidRPr="00153671" w:rsidTr="00153A5C">
        <w:trPr>
          <w:gridAfter w:val="1"/>
          <w:wAfter w:w="11" w:type="dxa"/>
          <w:tblHeader/>
        </w:trPr>
        <w:tc>
          <w:tcPr>
            <w:tcW w:w="675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3"/>
            </w:r>
          </w:p>
        </w:tc>
        <w:tc>
          <w:tcPr>
            <w:tcW w:w="5954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228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2115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в областта на ВЕИ и енергийната ефективност в публични сгради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ПСОВ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Намаление на загубите на вода във водоснабдителната мрежа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Изградена нова канализационна мрежа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Обновени водопроводни и канализационни мрежи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Отпадни води, подложени на първично пречистване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Отпадни води, подложени на вторично пречистване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водоснабдяване и канализация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бр.(населени места)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( 1 – бр. в гр.Никопол)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Домакинства/стопански предприятия, обслужвани от нови/подобрени системи за газифициране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възобновяеми източници на енергия.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на построена газопроводна мрежа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Укрепени защитни диги по р. Дунав и р. Осъм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Построени нови пътища и велоалеи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Построени нови паркове и площи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Подобрени общински пътища в лошо състояние и такива без настилка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rPr>
          <w:gridAfter w:val="1"/>
          <w:wAfter w:w="11" w:type="dxa"/>
        </w:trPr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Подобрена улична мрежа в лошо състояние </w:t>
            </w: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2115" w:type="dxa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53671" w:rsidRPr="00153671" w:rsidTr="00153A5C">
        <w:tc>
          <w:tcPr>
            <w:tcW w:w="675" w:type="dxa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954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Население, ползващо се от мерки за защита от наводнения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126" w:type="dxa"/>
            <w:gridSpan w:val="2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 № 4. Екологично развитие.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приоритета е дефинирана 1 (една) специфична цел, 3 (три) мерки и общо 7 подмерки.</w:t>
      </w: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Постигнати преки и косвени индикатори по Приоритет №4 (представени по-долу в текста).</w:t>
      </w: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Специфична цел 1: Трайно подобряване на екологичното състояние на община Никопол 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1. Екологичен мониторинг – изграждане на система за непрекъснато следене на замърсяването на въздуха, водата и почвата.</w:t>
      </w:r>
    </w:p>
    <w:p w:rsidR="00153671" w:rsidRPr="00153671" w:rsidRDefault="00153671" w:rsidP="0015367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Приетата  Програма за качеството на атмосферния въздух за периода 2016-2020 с Решение №262/26.10.2017 г. е в сила за отчетния период.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4. Партньорство с бизнеса и гражданското общество</w:t>
      </w:r>
    </w:p>
    <w:p w:rsidR="00153671" w:rsidRPr="00153671" w:rsidRDefault="00153671" w:rsidP="0015367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Повишаване на познанията, културата и съзнанието на децата и населението по въпросите на опазването на околната среда и устойчивото развитие</w:t>
      </w:r>
    </w:p>
    <w:p w:rsidR="00153671" w:rsidRPr="00153671" w:rsidRDefault="00153671" w:rsidP="001536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Община Никопол през 201</w:t>
      </w:r>
      <w:r w:rsidRPr="00153671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153671">
        <w:rPr>
          <w:rFonts w:ascii="Times New Roman" w:eastAsia="Calibri" w:hAnsi="Times New Roman" w:cs="Times New Roman"/>
          <w:sz w:val="24"/>
          <w:szCs w:val="24"/>
        </w:rPr>
        <w:t xml:space="preserve"> г. продължи   партньорството с фирма „Екоколект”  АД,  да провеждат кампании с деца и отделни възрастови групи за разделното събиране на отпадъци и опазването на околната среда;</w:t>
      </w:r>
    </w:p>
    <w:p w:rsidR="00153671" w:rsidRPr="00153671" w:rsidRDefault="00153671" w:rsidP="001536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През изминалата 2019 г. беше изпълнен проект от Национална кампания „Чиста Околна среда-2019 г.”: „Обичам природата-и аз участвам” на тема „Здраве на открито” в с.Въбел и с.Драгаш войвода. Бяха отпуснати средства в размер на 19 964,00 лв от ПУДООС.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4 на Общинския план за развитие на Община Никопол за оценявания период, може да бъде направена оценка на първоначалните резултати, която е представена в Таблица №1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следва.</w:t>
      </w:r>
    </w:p>
    <w:p w:rsidR="00153671" w:rsidRPr="00153671" w:rsidRDefault="00153671" w:rsidP="00153671">
      <w:pPr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b/>
          <w:color w:val="339966"/>
          <w:sz w:val="24"/>
          <w:szCs w:val="24"/>
          <w:lang w:val="en-US" w:eastAsia="bg-BG"/>
        </w:rPr>
        <w:t>4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Обобщена оценка на първоначалните резултати по Приоритет №4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  <w:gridCol w:w="1291"/>
      </w:tblGrid>
      <w:tr w:rsidR="00153671" w:rsidRPr="00153671" w:rsidTr="00153A5C">
        <w:trPr>
          <w:tblHeader/>
        </w:trPr>
        <w:tc>
          <w:tcPr>
            <w:tcW w:w="8460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</w:t>
            </w:r>
          </w:p>
        </w:tc>
        <w:tc>
          <w:tcPr>
            <w:tcW w:w="1291" w:type="dxa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153671" w:rsidRPr="00153671" w:rsidTr="00153A5C">
        <w:tc>
          <w:tcPr>
            <w:tcW w:w="9751" w:type="dxa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Трайно подобряване на екологичното състояние на община Никопол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Програмни мерки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програма за опазване на околната среда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Технически и технологични мерки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2,4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 за твърди отпадъци в община Никопол – разработване на инвестиционен проект, ПУП, ОВОС, строителни дейности за изграждане на депото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Премахване на нерегламентираните сметища в общината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Внедряване на съвременна техника за сметосъбиране, сметоизвозване и специализирани съдове за отпадъци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Полагане на грижи за складовете за пестициди и хербициди с оглед правилното им съхранение и обезвреждане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Засаждане и отглеждане на нови и възстановяване на съществуващи горски масиви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3. Партньорство с бизнеса и гражданското общество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2,00</w:t>
            </w:r>
          </w:p>
        </w:tc>
      </w:tr>
      <w:tr w:rsidR="00153671" w:rsidRPr="00153671" w:rsidTr="00153A5C">
        <w:tc>
          <w:tcPr>
            <w:tcW w:w="8460" w:type="dxa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познанията, културата и съзнанието на децата и населението по въпросите на опазването на околната среда и устойчивото развитие</w:t>
            </w:r>
          </w:p>
        </w:tc>
        <w:tc>
          <w:tcPr>
            <w:tcW w:w="1291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първоначалните резултати е добра. С изпълнение на договора за изграждане на регионална система за управление на отпадъците в регион Левски (Никопол), договор за разделно събиране, приетите програми в областта на опазване на околната среда и управление и събиране на отпадъците общинска администрация Никопол поставя основите за подобряване на екологичната обстановка в общината и допринася за екологичното развитие на района.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Обобщение на постигнатите резултати от изпълнението на приоритет 4 са представени в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5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следва. 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n-US" w:eastAsia="bg-BG"/>
        </w:rPr>
        <w:t>5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 косвени индикатори по Приоритет №4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023"/>
        <w:gridCol w:w="1783"/>
        <w:gridCol w:w="1432"/>
      </w:tblGrid>
      <w:tr w:rsidR="00153671" w:rsidRPr="00153671" w:rsidTr="00153A5C">
        <w:trPr>
          <w:tblHeader/>
        </w:trPr>
        <w:tc>
          <w:tcPr>
            <w:tcW w:w="770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4"/>
            </w:r>
          </w:p>
        </w:tc>
        <w:tc>
          <w:tcPr>
            <w:tcW w:w="6023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83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432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депа за третиране на отпадъци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Реализирани проекти в областта на екологията и  биоразнообразието**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Изградени системи за непрекъснато следене на замърсяването на въздуха, водата и почвата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включени населени места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Премахнати нерегламентирани сметища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Дял на населението обхванато от системата на организирано сметосъбиране и сметоизвозване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Население, ползващо се от мерки за защита от наводнения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602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Намаляване на парниковите газове еквивалент тон CO2</w:t>
            </w:r>
          </w:p>
        </w:tc>
        <w:tc>
          <w:tcPr>
            <w:tcW w:w="178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Еквивалент тон</w:t>
            </w:r>
          </w:p>
        </w:tc>
        <w:tc>
          <w:tcPr>
            <w:tcW w:w="1432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Приоритет № 5. Укрепване на административния капацитет и развитие на нови професионални умения.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приоритета са дефинирани 4 (четири) специфични цели, 8 (осем) мерки и общо 6 подмерки.</w:t>
      </w: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първоначалните резултати е дадена в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val="ru-RU" w:eastAsia="bg-BG"/>
        </w:rPr>
        <w:t>6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.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Обобщена оценка на първоначалните резултати от изпълнение на Приоритет № 5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и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№17.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Постигнати преки и косвени индикатори по Приоритет №5 (представени по-долу в текста).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Специфична цел 3: Засилване на партньорството и междуобщинското сътрудничество.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Мярка 2: Обучение на участниците и местните партньори за подпомагане на процесите на партньорство и управление на съвместни програми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Предприети са действия по реализиране на:</w:t>
      </w:r>
    </w:p>
    <w:p w:rsidR="00153671" w:rsidRPr="00153671" w:rsidRDefault="00153671" w:rsidP="0015367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 xml:space="preserve">В процес на изпълнение са дейности по подмярка 19.2 </w:t>
      </w:r>
      <w:r w:rsidRPr="00153671">
        <w:rPr>
          <w:rFonts w:ascii="Century" w:eastAsia="Calibri" w:hAnsi="Century" w:cs="Calibri"/>
          <w:color w:val="222222"/>
          <w:sz w:val="23"/>
          <w:szCs w:val="23"/>
          <w:shd w:val="clear" w:color="auto" w:fill="EEEEEE"/>
        </w:rPr>
        <w:t xml:space="preserve">Прилагане на операции в рамките на стратегии за Водено от общностите местно развитие“, </w:t>
      </w:r>
      <w:r w:rsidRPr="00153671">
        <w:rPr>
          <w:rFonts w:ascii="Times New Roman" w:eastAsia="Calibri" w:hAnsi="Times New Roman" w:cs="Times New Roman"/>
          <w:sz w:val="24"/>
          <w:szCs w:val="24"/>
        </w:rPr>
        <w:t>на мярка 19 „Водено от общностите местно развитие“ и по</w:t>
      </w:r>
      <w:r w:rsidRPr="00153671">
        <w:rPr>
          <w:rFonts w:ascii="Century" w:eastAsia="Calibri" w:hAnsi="Century" w:cs="Calibri"/>
          <w:color w:val="222222"/>
          <w:sz w:val="23"/>
          <w:szCs w:val="23"/>
          <w:shd w:val="clear" w:color="auto" w:fill="EEEEEE"/>
        </w:rPr>
        <w:t xml:space="preserve"> Подмярка 19.4 „Текущи разходи и популяризиране на стратегията за ВОМР“-като резултат от учредената МИГ Белене-Никопол.</w:t>
      </w:r>
      <w:r w:rsidRPr="00153671">
        <w:rPr>
          <w:rFonts w:ascii="Times New Roman" w:eastAsia="Calibri" w:hAnsi="Times New Roman" w:cs="Times New Roman"/>
          <w:sz w:val="24"/>
          <w:szCs w:val="24"/>
        </w:rPr>
        <w:t xml:space="preserve"> През отчетния период са проведени редица информационни срещи и обучения на местни лидери.</w:t>
      </w:r>
    </w:p>
    <w:p w:rsidR="00153671" w:rsidRPr="00153671" w:rsidRDefault="00153671" w:rsidP="0015367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В процес на изпълнение е проект за създаване на Местна инициативна рибарска група на територията на общините Белене, Никопол, Гулянци и Долна Митрополия по мярка 4.1 „Подготвителна помощ за стратегии за ВОМР” финансирани по Програмата за морско дело и рибарство 2014-</w:t>
      </w:r>
      <w:smartTag w:uri="urn:schemas-microsoft-com:office:smarttags" w:element="metricconverter">
        <w:smartTagPr>
          <w:attr w:name="ProductID" w:val="2020 г"/>
        </w:smartTagPr>
        <w:r w:rsidRPr="00153671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1536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от представената информация за реализирани проекти и предприети действия по Приоритет №5 на Общинския план за развитие на Община Никопол за оценявания период, може да бъде направена оценка на първоначалните резултати, която е представена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 в </w:t>
      </w:r>
      <w:r w:rsidRPr="00153671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№16</w:t>
      </w:r>
      <w:r w:rsidRPr="00153671">
        <w:rPr>
          <w:rFonts w:ascii="Times New Roman" w:eastAsia="Times New Roman" w:hAnsi="Times New Roman" w:cs="Times New Roman"/>
          <w:color w:val="993300"/>
          <w:sz w:val="24"/>
          <w:szCs w:val="24"/>
          <w:lang w:eastAsia="bg-BG"/>
        </w:rPr>
        <w:t xml:space="preserve">,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</w:t>
      </w: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№16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Обобщена оценка на първоначалните резултати от изпълнението на Приоритет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  <w:gridCol w:w="1045"/>
      </w:tblGrid>
      <w:tr w:rsidR="00153671" w:rsidRPr="00153671" w:rsidTr="00153A5C">
        <w:trPr>
          <w:tblHeader/>
        </w:trPr>
        <w:tc>
          <w:tcPr>
            <w:tcW w:w="0" w:type="auto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br w:type="page"/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Мярка/Подмярка/Проект</w:t>
            </w:r>
          </w:p>
        </w:tc>
        <w:tc>
          <w:tcPr>
            <w:tcW w:w="0" w:type="auto"/>
            <w:shd w:val="clear" w:color="auto" w:fill="FDE9D9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1: Укрепване на капацитета на общинската администрация и подобряване координацията в процеса на изпълнение на общинския план за развитие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план, която да включва: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2,67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Организационна и технологична подготовка, наблюдение и оценка на реализацията на общинския план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Информационно осигуряване на процесите на управление и функциониране на информационната система за управление на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Изготвяне на регулярни доклади, справки и материали за изпълнението на плана и провеждане на политика на публичност и прозрачност по неговата реализация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2: Подобряване на организацията и качеството на предоставяните от общината административни услуги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Мярка 1. Предоставяне на комплексни административни услуги на гражданите и бизнеса и развитие на електронното управление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общински информационен център в община Никопол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3: Засилване на партньорството и между-общинското сътрудничество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Създаване на цялостна система за партньорство между общината и заинтересованите страни при реализирането на общински политики.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</w:rPr>
              <w:t>Подобряване достъпа до развитието на он-лайн публични и бизнес услуги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Обучение на участниците и местните партньори за подпомагане на процесите на партньорство и управление на съвместни програми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2,78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Поддържане функционирането на общински информационен център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2,78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Регулярни срещи с бизнеса и информиране за възможностите от съответни проекти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Информация за възможностите за финансиране по европейски програми от фондове на ЕС от уеб-страницата на общината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Подпомагане на бизнеса, в т.ч. МСП за възприемане и ефективно използване на информационните и комуникационните технологии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Осигуряване на компетентна информация за подходящи породи, изисквания за качество, пазарни конюнктури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Информационна, методическа и организационна помощ за създаване на сдружения за напояване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153671">
              <w:rPr>
                <w:rFonts w:ascii="Garamond" w:eastAsia="Calibri" w:hAnsi="Garamond" w:cs="Calibri"/>
                <w:sz w:val="24"/>
                <w:szCs w:val="24"/>
              </w:rPr>
              <w:t xml:space="preserve">Осигуряване на масов достъп до актуална информация и повишаване на научното обслужване в аграрния сектор 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153671">
              <w:rPr>
                <w:rFonts w:ascii="Garamond" w:eastAsia="Calibri" w:hAnsi="Garamond" w:cs="Calibri"/>
                <w:sz w:val="24"/>
                <w:szCs w:val="24"/>
              </w:rPr>
              <w:t xml:space="preserve">Подпомагане на фермерите да се приспособят към нарастващите изисквания на стандартите на ЕС 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Проучване и информиране за възможностите за финансиране, помощ при изготвяне на проекти за кандидатстване, включване в регионалните туристически продукти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32"/>
              </w:numPr>
              <w:spacing w:before="60" w:after="60" w:line="240" w:lineRule="auto"/>
              <w:contextualSpacing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153671">
              <w:rPr>
                <w:rFonts w:ascii="Garamond" w:eastAsia="Calibri" w:hAnsi="Garamond" w:cs="Calibri"/>
                <w:sz w:val="24"/>
                <w:szCs w:val="24"/>
              </w:rPr>
              <w:t>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Специфична цел 4: Създаване на програмен проектен капацитет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1.  Създаване на капацитет за ефективно планиране, програмиране, управление, контрол, наблюдение, оценка и подготовка за усвояване на средствата по структурните инструменти на ЕС, а така също от национални и местни източници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Мярка 2. Развитие на нови подходи за насърчаване и насочване на регионалното и местното развитие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</w:tr>
      <w:tr w:rsidR="00153671" w:rsidRPr="00153671" w:rsidTr="00153A5C"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ефикасна и усъвършенствана функционално-организационна структура на общината, която да води до управление, изградено на принципите на партньорството, отвореността и хоризонталната ориентация.</w:t>
            </w:r>
          </w:p>
        </w:tc>
        <w:tc>
          <w:tcPr>
            <w:tcW w:w="0" w:type="auto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№17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Постигнати преки индикатори по Приоритет №5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787"/>
        <w:gridCol w:w="1783"/>
        <w:gridCol w:w="1738"/>
      </w:tblGrid>
      <w:tr w:rsidR="00153671" w:rsidRPr="00153671" w:rsidTr="00153A5C">
        <w:trPr>
          <w:trHeight w:val="415"/>
          <w:tblHeader/>
        </w:trPr>
        <w:tc>
          <w:tcPr>
            <w:tcW w:w="770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footnoteReference w:id="5"/>
            </w:r>
          </w:p>
        </w:tc>
        <w:tc>
          <w:tcPr>
            <w:tcW w:w="5787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783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738" w:type="dxa"/>
            <w:shd w:val="clear" w:color="auto" w:fill="FDE9D9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 към 31.12.2019 г.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Създадени „онлайн“ административни услуги</w:t>
            </w:r>
          </w:p>
        </w:tc>
        <w:tc>
          <w:tcPr>
            <w:tcW w:w="178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38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служители, участвали в програми за обучение.</w:t>
            </w:r>
          </w:p>
        </w:tc>
        <w:tc>
          <w:tcPr>
            <w:tcW w:w="178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38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53671" w:rsidRPr="00153671" w:rsidTr="00153A5C">
        <w:tc>
          <w:tcPr>
            <w:tcW w:w="770" w:type="dxa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787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Реализирани  проекти за развитие на регионални и местни партньорства (административни/ икономически/ социални) </w:t>
            </w:r>
          </w:p>
        </w:tc>
        <w:tc>
          <w:tcPr>
            <w:tcW w:w="1783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38" w:type="dxa"/>
            <w:vAlign w:val="center"/>
          </w:tcPr>
          <w:p w:rsidR="00153671" w:rsidRPr="00153671" w:rsidRDefault="00153671" w:rsidP="001536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на първоначалните резултати от изпълнение на Приоритет №5 е ниска. Не се предприемат никакви действия по отношение подобряване капацитета на общинските служители извън възможностите предоставени от ЕСФ. 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ІІІ. 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ефективност и ефикасност при изпълнението на общинския план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 на плана и постигането на заложените цели има една основна задача, да се подобри социално–икономическото състояние в общината. Поради тази причина оценката е извършена първо на база наличието/липсата на подобрение състоянието на общината по основни социално-икономически показатели, включително и на база преките и косвени индикатори за наблюдение и оценка на изпълнението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(Пълен списък на постигнатите преки и косвени индикатори за годината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–Таблица №21)</w:t>
      </w: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оценката на първоначалните резултати от изпълнението на ОПР 2014-2020 степента на постигане на целите ще се определи чрез оценка давана на база четиристепенна качествена скала:</w:t>
      </w:r>
    </w:p>
    <w:p w:rsidR="00153671" w:rsidRPr="00153671" w:rsidRDefault="00153671" w:rsidP="0015367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„Липсва напредък“ – не са предприети никакви действия по реализиране на мерките, допринасящи за постигане на съответната цел;</w:t>
      </w:r>
    </w:p>
    <w:p w:rsidR="00153671" w:rsidRPr="00153671" w:rsidRDefault="00153671" w:rsidP="0015367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„Незначителен напредък“ – предприетите действия/реализирани проекти са изключително малко и не предполагат осезателен ефект в дългосрочен план;</w:t>
      </w:r>
    </w:p>
    <w:p w:rsidR="00153671" w:rsidRPr="00153671" w:rsidRDefault="00153671" w:rsidP="0015367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Times New Roman" w:eastAsia="Calibri" w:hAnsi="Times New Roman" w:cs="Times New Roman"/>
          <w:sz w:val="24"/>
          <w:szCs w:val="24"/>
        </w:rPr>
        <w:t>„Ограничен напредък“ – предприетите действия/реализирани проекти/постигнати резултати в сравнителна степен оказват положително влияние и имат осезателен ефект върху целевите групи/територии, но не достатъчно за постигане на по-високо качествено ниво в дългосрочен план;</w:t>
      </w:r>
    </w:p>
    <w:p w:rsidR="00153671" w:rsidRPr="00153671" w:rsidRDefault="00153671" w:rsidP="0015367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71">
        <w:rPr>
          <w:rFonts w:ascii="Calibri" w:eastAsia="Calibri" w:hAnsi="Calibri" w:cs="Calibri"/>
        </w:rPr>
        <w:t>„</w:t>
      </w:r>
      <w:r w:rsidRPr="00153671">
        <w:rPr>
          <w:rFonts w:ascii="Times New Roman" w:eastAsia="Calibri" w:hAnsi="Times New Roman" w:cs="Times New Roman"/>
          <w:sz w:val="24"/>
          <w:szCs w:val="24"/>
        </w:rPr>
        <w:t>Значителен напредък“ – предприетите действия/реализирани проекти/постигнати резултати са достатъчни за постигане на дългосрочни желани ефекти.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направената оценка на социално – икономическото състояние на общината и постигнатите преки и косвени индикатори в таблицата по-долу е дадена оценка по посочената по-горе четиристепенна скала за степента на постигане на заложените по всеки приоритет специфични цели</w:t>
      </w:r>
    </w:p>
    <w:p w:rsidR="00153671" w:rsidRPr="00153671" w:rsidRDefault="00153671" w:rsidP="001536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№18</w:t>
      </w: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 на степента на постигане на целите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460"/>
      </w:tblGrid>
      <w:tr w:rsidR="00153671" w:rsidRPr="00153671" w:rsidTr="00153A5C">
        <w:trPr>
          <w:tblHeader/>
        </w:trPr>
        <w:tc>
          <w:tcPr>
            <w:tcW w:w="7110" w:type="dxa"/>
            <w:shd w:val="clear" w:color="auto" w:fill="FDE9D9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 w:type="page"/>
            </w:r>
            <w:r w:rsidRPr="00153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Цел</w:t>
            </w:r>
          </w:p>
          <w:p w:rsidR="00153671" w:rsidRPr="00153671" w:rsidRDefault="00153671" w:rsidP="001536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shd w:val="clear" w:color="auto" w:fill="FDE9D9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оценка за постигане на целите</w:t>
            </w:r>
          </w:p>
        </w:tc>
      </w:tr>
      <w:tr w:rsidR="00153671" w:rsidRPr="00153671" w:rsidTr="00153A5C">
        <w:tc>
          <w:tcPr>
            <w:tcW w:w="9570" w:type="dxa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№1. Устойчив растеж и икономическо развитие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Изграждане на подходяща бизнес среда и повишаване на инвестиционния интерес към общината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Създаване на подходяща за развитие на бизнеса инфраструктура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 напредък</w:t>
            </w:r>
          </w:p>
        </w:tc>
      </w:tr>
      <w:tr w:rsidR="00153671" w:rsidRPr="00153671" w:rsidTr="00153A5C">
        <w:tc>
          <w:tcPr>
            <w:tcW w:w="9570" w:type="dxa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 2. Постигане на социална кохезия чрез укрепване и развитие на човешкия капитал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Постигане на гъвкав пазар на труда и социална интеграция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Повишаване  качеството на образованието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3: Подобряване на здравните услуги и свободния достъп до тях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4: Развитие на културата, спорта и младежките дейности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5: Развитие на социалните услуги и интеграция на уязвимите групи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153671" w:rsidRPr="00153671" w:rsidTr="00153A5C">
        <w:tc>
          <w:tcPr>
            <w:tcW w:w="9570" w:type="dxa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 3. Техническа и инженерна инфраструктура.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Обновяване и доизграждане на техническата инфраструктура, стимулираща развитието на конкурентоспособна общинска икономика, респективно доходите на населението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Изграждане, разширяване и поддържане  на техническата инфраструктура, подобряваща жизнената среда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153671" w:rsidRPr="00153671" w:rsidTr="00153A5C">
        <w:tc>
          <w:tcPr>
            <w:tcW w:w="9570" w:type="dxa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Трайно подобряване на екологичното състояние на община Никопол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напредък</w:t>
            </w:r>
          </w:p>
        </w:tc>
      </w:tr>
      <w:tr w:rsidR="00153671" w:rsidRPr="00153671" w:rsidTr="00153A5C">
        <w:tc>
          <w:tcPr>
            <w:tcW w:w="9570" w:type="dxa"/>
            <w:gridSpan w:val="2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умения.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1: Укрепване на капацитета на общинската администрация и подобряване координацията в процеса на изпълнение на общинския план за развитие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2: Подобряване на организацията и качеството на предоставяните от общината административни услуги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Незначителен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3: Засилване на партньорството и междуобщинското сътрудничество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Ограничен  напредък</w:t>
            </w:r>
          </w:p>
        </w:tc>
      </w:tr>
      <w:tr w:rsidR="00153671" w:rsidRPr="00153671" w:rsidTr="00153A5C">
        <w:tc>
          <w:tcPr>
            <w:tcW w:w="7110" w:type="dxa"/>
            <w:shd w:val="clear" w:color="auto" w:fill="auto"/>
          </w:tcPr>
          <w:p w:rsidR="00153671" w:rsidRPr="00153671" w:rsidRDefault="00153671" w:rsidP="0015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Специфична цел 4: Създаване на програмен проектен капацитет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53671" w:rsidRPr="00153671" w:rsidRDefault="00153671" w:rsidP="00153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36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 напредък</w:t>
            </w:r>
          </w:p>
        </w:tc>
      </w:tr>
    </w:tbl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направения анализ и оценка на събраните количествените и качествени данни за социално-икономическото състояние на общината и постигнатите индикатори може да се заключи, че е налице незадоволително изпълнение на плана. Приложените мерки и действия не оказват необходимото благотворно влияние върху социално – икономическите процеси, протичащи на територията на община Никопол. Тук естествено е коректно да се отбележи, че особено по отношение индикаторите за въздействие и последващите ефекти от дейността на общината върху социално-икономическото развитие на територията оказват съществено влияние и редица други фактори. </w:t>
      </w:r>
    </w:p>
    <w:p w:rsidR="00153671" w:rsidRPr="00153671" w:rsidRDefault="00153671" w:rsidP="00153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първоначалните резултати и постигнати цели дава основание да се твърди, че темпът, с които се реализира плана забавя постигането на стратегическата цел на плана.</w:t>
      </w:r>
    </w:p>
    <w:p w:rsidR="00153671" w:rsidRPr="00153671" w:rsidRDefault="00153671" w:rsidP="001536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Стратегическата цел, която се преследва с реализация на заложените в плана мерки и проекти дефинирана като „Създаване на нови възможности за подобряване условията за развитие на местната икономика и средата на живот на хората, съпровождани от повишаване на заетостта, доходите, образователното равнище, здравния статус на населението“ към момента не намира своята дори минимална реализация.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67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272 от 28.11.2017 г.  на Общинския съвет и приет актуализиран документ за изпълнение, допълващ Общински план за развитие </w:t>
      </w:r>
      <w:smartTag w:uri="urn:schemas-microsoft-com:office:smarttags" w:element="metricconverter">
        <w:smartTagPr>
          <w:attr w:name="ProductID" w:val="2014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2014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smartTag w:uri="urn:schemas-microsoft-com:office:smarttags" w:element="metricconverter">
        <w:smartTagPr>
          <w:attr w:name="ProductID" w:val="-2020 г"/>
        </w:smartTagPr>
        <w:r w:rsidRPr="0015367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-2020 г</w:t>
        </w:r>
      </w:smartTag>
      <w:r w:rsidRPr="00153671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Община Никопол, с което е направено преразглеждане на целите и мерките, които следва да бъдат отчетени със следващия  годишен отчет.</w:t>
      </w: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153671" w:rsidRPr="00153671" w:rsidRDefault="00153671" w:rsidP="00153671"/>
    <w:p w:rsid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  <w:sectPr w:rsidR="00203DAB" w:rsidSect="00A808B2">
          <w:pgSz w:w="11906" w:h="16838"/>
          <w:pgMar w:top="851" w:right="709" w:bottom="425" w:left="992" w:header="709" w:footer="709" w:gutter="0"/>
          <w:cols w:space="708"/>
          <w:docGrid w:linePitch="360"/>
        </w:sectPr>
      </w:pPr>
    </w:p>
    <w:p w:rsidR="00203DAB" w:rsidRPr="00652122" w:rsidRDefault="00203DAB" w:rsidP="00203DAB">
      <w:pPr>
        <w:spacing w:after="0" w:line="240" w:lineRule="auto"/>
        <w:ind w:left="12036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652122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Таблица №19</w:t>
      </w:r>
    </w:p>
    <w:p w:rsidR="00203DAB" w:rsidRPr="00652122" w:rsidRDefault="00203DAB" w:rsidP="00203DAB">
      <w:pPr>
        <w:keepNext/>
        <w:keepLines/>
        <w:spacing w:after="0" w:line="240" w:lineRule="auto"/>
        <w:ind w:left="3540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2122">
        <w:rPr>
          <w:rFonts w:ascii="Times New Roman" w:eastAsia="Times New Roman" w:hAnsi="Times New Roman" w:cs="Times New Roman"/>
          <w:bCs/>
          <w:sz w:val="26"/>
          <w:szCs w:val="26"/>
        </w:rPr>
        <w:t>Оценка на ефективността и ефикасността на използваните ресурси</w:t>
      </w:r>
    </w:p>
    <w:tbl>
      <w:tblPr>
        <w:tblW w:w="16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2221"/>
        <w:gridCol w:w="1701"/>
        <w:gridCol w:w="2079"/>
        <w:gridCol w:w="1984"/>
        <w:gridCol w:w="3260"/>
      </w:tblGrid>
      <w:tr w:rsidR="00203DAB" w:rsidRPr="00652122" w:rsidTr="00153A5C">
        <w:trPr>
          <w:tblHeader/>
        </w:trPr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Критерии за оценка</w:t>
            </w:r>
          </w:p>
        </w:tc>
        <w:tc>
          <w:tcPr>
            <w:tcW w:w="7985" w:type="dxa"/>
            <w:gridSpan w:val="4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Ефективност</w:t>
            </w:r>
          </w:p>
        </w:tc>
        <w:tc>
          <w:tcPr>
            <w:tcW w:w="3260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Полезност</w:t>
            </w:r>
          </w:p>
        </w:tc>
      </w:tr>
      <w:tr w:rsidR="00203DAB" w:rsidRPr="00652122" w:rsidTr="00153A5C">
        <w:trPr>
          <w:tblHeader/>
        </w:trPr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0"/>
                <w:szCs w:val="20"/>
                <w:lang w:eastAsia="bg-BG"/>
              </w:rPr>
              <w:t>Цел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Настъпили положителни тенденции на развитие в резултат от изпълнение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Ниво на постигнатите индикатори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Приложените интервенциите и използваните инструменти произвели ли са очакваните ефекти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Използването на други инструменти би ли оптимизирало повече получените ефекти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18"/>
                <w:szCs w:val="18"/>
                <w:lang w:eastAsia="bg-BG"/>
              </w:rPr>
              <w:t>Постигнатите планирани и непланирани ефекти и оказани въздействия задоволителни ли са от гледна точка на преките и не преки реципиенти.</w:t>
            </w:r>
          </w:p>
        </w:tc>
      </w:tr>
      <w:tr w:rsidR="00203DAB" w:rsidRPr="00652122" w:rsidTr="00153A5C">
        <w:tc>
          <w:tcPr>
            <w:tcW w:w="16443" w:type="dxa"/>
            <w:gridSpan w:val="6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 xml:space="preserve">Приоритет № 1. Устойчив растеж и икономическо развитие 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 xml:space="preserve">Специфична цел 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val="ru-RU" w:eastAsia="bg-BG"/>
              </w:rPr>
              <w:t>1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: Изграждане на подходяща бизнес среда и повишаване на инвестиционния интерес към общината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Нулево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 xml:space="preserve">Специфична цел 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val="ru-RU" w:eastAsia="bg-BG"/>
              </w:rPr>
              <w:t>2</w:t>
            </w: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: Създаване на подходяща за развитие на бизнеса инфраструктура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Нулево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203DAB" w:rsidRPr="00652122" w:rsidTr="00153A5C">
        <w:tc>
          <w:tcPr>
            <w:tcW w:w="16443" w:type="dxa"/>
            <w:gridSpan w:val="6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 xml:space="preserve">Приоритет № 2. Постигане на социална кохезия чрез укрепване и развитие на човешкия капитал 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Постигане на гъвкав пазар на труда и социална интеграция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2: Повишаване  качеството на образованието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Допуска се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3: Подобряване на здравните услуги и свободния достъп до тях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4: Развитие на културата, спорта и младежките дейности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5: Развитие на социалните услуги и интеграция на уязвимите групи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203DAB" w:rsidRPr="00652122" w:rsidTr="00153A5C">
        <w:tc>
          <w:tcPr>
            <w:tcW w:w="16443" w:type="dxa"/>
            <w:gridSpan w:val="6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Приоритет № 3. Техническа и инженерна инфраструктура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Изграждане, разширяване и поддържане на техническата инфраструктура, подобряваща жизнената среда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2: Обновяване и доизграждане на техническата инфраструктура, подобряваща жизнената среда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203DAB" w:rsidRPr="00652122" w:rsidTr="00153A5C">
        <w:tc>
          <w:tcPr>
            <w:tcW w:w="16443" w:type="dxa"/>
            <w:gridSpan w:val="6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Трайно подобряване на екологичното състояние на община Никопол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203DAB" w:rsidRPr="00652122" w:rsidTr="00153A5C">
        <w:tc>
          <w:tcPr>
            <w:tcW w:w="16443" w:type="dxa"/>
            <w:gridSpan w:val="6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1: Укрепване на капацитета на общинската администрация и подобряване координацията в процеса на изпълнение на общинския план за развитие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2: Подобряване на организацията и качеството на предоставяните от общината административни услуги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3: Засилване на партньорството и междуобщинското сътрудничество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Незадоволително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  <w:tr w:rsidR="00203DAB" w:rsidRPr="00652122" w:rsidTr="00153A5C">
        <w:tc>
          <w:tcPr>
            <w:tcW w:w="5198" w:type="dxa"/>
            <w:shd w:val="clear" w:color="auto" w:fill="auto"/>
          </w:tcPr>
          <w:p w:rsidR="00203DAB" w:rsidRPr="00652122" w:rsidRDefault="00203DAB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Специфична цел 4: Създаване на програмен проектен капацитет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3DAB" w:rsidRPr="00652122" w:rsidRDefault="00203DAB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  <w:r w:rsidRPr="00652122"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  <w:t>Неприложимо</w:t>
            </w:r>
          </w:p>
        </w:tc>
      </w:tr>
    </w:tbl>
    <w:p w:rsidR="00203DAB" w:rsidRPr="00652122" w:rsidRDefault="00203DAB" w:rsidP="00203DA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b/>
          <w:sz w:val="20"/>
          <w:szCs w:val="20"/>
          <w:lang w:eastAsia="bg-BG"/>
        </w:rPr>
        <w:t>Легенда:</w:t>
      </w:r>
      <w:r w:rsidRPr="00652122">
        <w:rPr>
          <w:rFonts w:ascii="Garamond" w:eastAsia="Times New Roman" w:hAnsi="Garamond" w:cs="Times New Roman"/>
          <w:b/>
          <w:sz w:val="24"/>
          <w:szCs w:val="24"/>
          <w:lang w:eastAsia="bg-BG"/>
        </w:rPr>
        <w:t xml:space="preserve"> </w:t>
      </w: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 xml:space="preserve">Неприложимо 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>–  не са предприети/реализирани действия; резултат от предприетите действия се очаква в бъдещ период; не се отнася до конкретния показател;</w:t>
      </w:r>
    </w:p>
    <w:p w:rsidR="00203DAB" w:rsidRPr="00652122" w:rsidRDefault="00203DAB" w:rsidP="00203DAB">
      <w:pPr>
        <w:spacing w:after="0" w:line="240" w:lineRule="auto"/>
        <w:ind w:firstLine="708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>Нулево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 xml:space="preserve"> – няма постигнати индикатори;</w:t>
      </w:r>
    </w:p>
    <w:p w:rsidR="00203DAB" w:rsidRPr="00652122" w:rsidRDefault="00203DAB" w:rsidP="00203DAB">
      <w:pPr>
        <w:spacing w:after="0" w:line="240" w:lineRule="auto"/>
        <w:ind w:firstLine="708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 xml:space="preserve">Незадоволително 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>–постигнати са резултати при по – малко от 50% от индикаторите по целта;</w:t>
      </w:r>
    </w:p>
    <w:p w:rsidR="00203DAB" w:rsidRPr="00652122" w:rsidRDefault="00203DAB" w:rsidP="00203DAB">
      <w:pPr>
        <w:spacing w:after="0" w:line="240" w:lineRule="auto"/>
        <w:ind w:firstLine="708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652122">
        <w:rPr>
          <w:rFonts w:ascii="Garamond" w:eastAsia="Times New Roman" w:hAnsi="Garamond" w:cs="Times New Roman"/>
          <w:i/>
          <w:sz w:val="20"/>
          <w:szCs w:val="20"/>
          <w:lang w:eastAsia="bg-BG"/>
        </w:rPr>
        <w:t xml:space="preserve">Задоволително </w:t>
      </w:r>
      <w:r w:rsidRPr="00652122">
        <w:rPr>
          <w:rFonts w:ascii="Garamond" w:eastAsia="Times New Roman" w:hAnsi="Garamond" w:cs="Times New Roman"/>
          <w:sz w:val="20"/>
          <w:szCs w:val="20"/>
          <w:lang w:eastAsia="bg-BG"/>
        </w:rPr>
        <w:t>– постигнати са резултати при повече от 50% от индикаторите по целта.</w:t>
      </w:r>
    </w:p>
    <w:p w:rsidR="00203DAB" w:rsidRPr="00652122" w:rsidRDefault="00203DAB" w:rsidP="00203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203DAB"/>
    <w:p w:rsidR="00203DAB" w:rsidRDefault="00203DAB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  <w:sectPr w:rsidR="000E0EB5" w:rsidSect="00203DAB">
          <w:pgSz w:w="16838" w:h="11906" w:orient="landscape"/>
          <w:pgMar w:top="709" w:right="425" w:bottom="992" w:left="851" w:header="709" w:footer="709" w:gutter="0"/>
          <w:cols w:space="708"/>
          <w:docGrid w:linePitch="360"/>
        </w:sectPr>
      </w:pPr>
    </w:p>
    <w:p w:rsidR="000E0EB5" w:rsidRPr="00ED28F8" w:rsidRDefault="000E0EB5" w:rsidP="000E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Оценка на ефективността на използваните ресурси</w:t>
      </w:r>
    </w:p>
    <w:p w:rsidR="000E0EB5" w:rsidRPr="00ED28F8" w:rsidRDefault="000E0EB5" w:rsidP="000E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ефективността ще бъде дадена по специфични цели и общо по приоритети (вж. Таблици №20 )</w:t>
      </w:r>
      <w:r w:rsidRPr="00ED28F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r w:rsidRPr="00ED28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</w:t>
      </w:r>
      <w:r w:rsidRPr="00ED28F8">
        <w:rPr>
          <w:rFonts w:ascii="Times New Roman" w:eastAsia="Times New Roman" w:hAnsi="Times New Roman" w:cs="Times New Roman"/>
          <w:sz w:val="24"/>
          <w:szCs w:val="24"/>
          <w:lang w:eastAsia="bg-BG"/>
        </w:rPr>
        <w:t>яка специфична цел/приоритет ще бъде оценена от гледна точка на показателите по критериите за оценка ефективност и полезност.</w:t>
      </w:r>
    </w:p>
    <w:p w:rsidR="000E0EB5" w:rsidRPr="00ED28F8" w:rsidRDefault="000E0EB5" w:rsidP="000E0EB5">
      <w:pPr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color w:val="008000"/>
          <w:sz w:val="24"/>
          <w:szCs w:val="24"/>
          <w:lang w:eastAsia="bg-BG"/>
        </w:rPr>
        <w:t>Таблици №20</w:t>
      </w:r>
    </w:p>
    <w:p w:rsidR="000E0EB5" w:rsidRPr="00ED28F8" w:rsidRDefault="000E0EB5" w:rsidP="000E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 на ефективността на вложените ресурси (обобщено)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70"/>
      </w:tblGrid>
      <w:tr w:rsidR="000E0EB5" w:rsidRPr="00ED28F8" w:rsidTr="00153A5C">
        <w:tc>
          <w:tcPr>
            <w:tcW w:w="3936" w:type="dxa"/>
            <w:shd w:val="clear" w:color="auto" w:fill="FDE9D9"/>
          </w:tcPr>
          <w:p w:rsidR="000E0EB5" w:rsidRPr="00ED28F8" w:rsidRDefault="000E0EB5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5870" w:type="dxa"/>
            <w:shd w:val="clear" w:color="auto" w:fill="FDE9D9"/>
          </w:tcPr>
          <w:p w:rsidR="000E0EB5" w:rsidRPr="00ED28F8" w:rsidRDefault="000E0EB5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Ефективност</w:t>
            </w:r>
          </w:p>
        </w:tc>
      </w:tr>
      <w:tr w:rsidR="000E0EB5" w:rsidRPr="00ED28F8" w:rsidTr="00153A5C">
        <w:tc>
          <w:tcPr>
            <w:tcW w:w="3936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Приоритет № 1. Устойчив растеж и икономическо развитие </w:t>
            </w:r>
          </w:p>
        </w:tc>
        <w:tc>
          <w:tcPr>
            <w:tcW w:w="5870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</w:t>
            </w:r>
          </w:p>
        </w:tc>
      </w:tr>
      <w:tr w:rsidR="000E0EB5" w:rsidRPr="00ED28F8" w:rsidTr="00153A5C">
        <w:tc>
          <w:tcPr>
            <w:tcW w:w="3936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2. Постигане на социална кохезия чрез укрепване и развитие на човешкия капитал</w:t>
            </w:r>
          </w:p>
        </w:tc>
        <w:tc>
          <w:tcPr>
            <w:tcW w:w="5870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 Вложените ресурси постигат незначителен дял от търсените резултати, но не могат трайно да окажат ефект върху целевата група/територия.</w:t>
            </w:r>
          </w:p>
        </w:tc>
      </w:tr>
      <w:tr w:rsidR="000E0EB5" w:rsidRPr="00ED28F8" w:rsidTr="00153A5C">
        <w:tc>
          <w:tcPr>
            <w:tcW w:w="3936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3. Техническа и инженерна инфраструктура</w:t>
            </w:r>
          </w:p>
        </w:tc>
        <w:tc>
          <w:tcPr>
            <w:tcW w:w="5870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 Вложените ресурси постигат незначителен дял от търсените резултати, но не могат трайно да окажат ефект върху целевата група/територия.</w:t>
            </w:r>
          </w:p>
        </w:tc>
      </w:tr>
      <w:tr w:rsidR="000E0EB5" w:rsidRPr="00ED28F8" w:rsidTr="00153A5C">
        <w:tc>
          <w:tcPr>
            <w:tcW w:w="3936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  <w:tc>
          <w:tcPr>
            <w:tcW w:w="5870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Средна ефективност. Вложените ресурси постигат относителен дял от търсените резултати, но не могат трайно да окажат ефект върху целевата група/територия.</w:t>
            </w:r>
          </w:p>
        </w:tc>
      </w:tr>
      <w:tr w:rsidR="000E0EB5" w:rsidRPr="00ED28F8" w:rsidTr="00153A5C">
        <w:tc>
          <w:tcPr>
            <w:tcW w:w="3936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</w:t>
            </w:r>
          </w:p>
        </w:tc>
        <w:tc>
          <w:tcPr>
            <w:tcW w:w="5870" w:type="dxa"/>
            <w:shd w:val="clear" w:color="auto" w:fill="auto"/>
          </w:tcPr>
          <w:p w:rsidR="000E0EB5" w:rsidRPr="00ED28F8" w:rsidRDefault="000E0EB5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28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Ниска ефективност.</w:t>
            </w:r>
          </w:p>
        </w:tc>
      </w:tr>
    </w:tbl>
    <w:p w:rsidR="000E0EB5" w:rsidRPr="00ED28F8" w:rsidRDefault="000E0EB5" w:rsidP="000E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0EB5" w:rsidRPr="00ED28F8" w:rsidRDefault="000E0EB5" w:rsidP="000E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обща сравнително ниска ефективност на изпълнение на плана. Положените усилия, реализирани проекти и вложени ресурси не постигат траен ефект и не осигуряват устойчивост на резултатите. </w:t>
      </w:r>
    </w:p>
    <w:p w:rsidR="000E0EB5" w:rsidRPr="00ED28F8" w:rsidRDefault="000E0EB5" w:rsidP="000E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0E0EB5"/>
    <w:p w:rsidR="000E0EB5" w:rsidRDefault="000E0EB5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954F7" w:rsidRDefault="002954F7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954F7" w:rsidRDefault="002954F7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954F7" w:rsidRDefault="002954F7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32730" w:rsidRDefault="00A32730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  <w:sectPr w:rsidR="00A32730" w:rsidSect="000E0EB5">
          <w:pgSz w:w="11906" w:h="16838"/>
          <w:pgMar w:top="851" w:right="709" w:bottom="425" w:left="992" w:header="709" w:footer="709" w:gutter="0"/>
          <w:cols w:space="708"/>
          <w:docGrid w:linePitch="360"/>
        </w:sectPr>
      </w:pPr>
    </w:p>
    <w:p w:rsidR="00A32730" w:rsidRPr="00720E83" w:rsidRDefault="00A32730" w:rsidP="00A32730">
      <w:pPr>
        <w:keepNext/>
        <w:spacing w:after="0" w:line="240" w:lineRule="auto"/>
        <w:ind w:left="720"/>
        <w:rPr>
          <w:rFonts w:ascii="Garamond" w:eastAsia="Calibri" w:hAnsi="Garamond" w:cs="Times New Roman"/>
          <w:b/>
          <w:color w:val="339966"/>
          <w:sz w:val="24"/>
          <w:szCs w:val="24"/>
        </w:rPr>
      </w:pPr>
      <w:r w:rsidRPr="00720E83">
        <w:rPr>
          <w:rFonts w:ascii="Garamond" w:eastAsia="Calibri" w:hAnsi="Garamond" w:cs="Times New Roman"/>
          <w:color w:val="339966"/>
          <w:sz w:val="24"/>
          <w:szCs w:val="24"/>
        </w:rPr>
        <w:t>Таблица №21</w:t>
      </w:r>
    </w:p>
    <w:p w:rsidR="00A32730" w:rsidRPr="00720E83" w:rsidRDefault="00A32730" w:rsidP="00A32730">
      <w:pPr>
        <w:keepNext/>
        <w:spacing w:after="0" w:line="240" w:lineRule="auto"/>
        <w:ind w:left="720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720E83">
        <w:rPr>
          <w:rFonts w:ascii="Garamond" w:eastAsia="Calibri" w:hAnsi="Garamond" w:cs="Times New Roman"/>
          <w:b/>
          <w:i/>
          <w:sz w:val="24"/>
          <w:szCs w:val="24"/>
        </w:rPr>
        <w:t>Постигнати преки и косвени индикатори по ОПР 2014-2020 по години</w:t>
      </w:r>
    </w:p>
    <w:p w:rsidR="00A32730" w:rsidRPr="00720E83" w:rsidRDefault="00A32730" w:rsidP="00A32730">
      <w:pPr>
        <w:keepNext/>
        <w:spacing w:after="0" w:line="240" w:lineRule="auto"/>
        <w:ind w:left="720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</w:p>
    <w:tbl>
      <w:tblPr>
        <w:tblW w:w="154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4"/>
        <w:gridCol w:w="2930"/>
        <w:gridCol w:w="700"/>
        <w:gridCol w:w="481"/>
        <w:gridCol w:w="561"/>
        <w:gridCol w:w="561"/>
        <w:gridCol w:w="561"/>
        <w:gridCol w:w="561"/>
        <w:gridCol w:w="561"/>
        <w:gridCol w:w="903"/>
        <w:gridCol w:w="1461"/>
        <w:gridCol w:w="1461"/>
        <w:gridCol w:w="1461"/>
        <w:gridCol w:w="1461"/>
        <w:gridCol w:w="1461"/>
      </w:tblGrid>
      <w:tr w:rsidR="00A32730" w:rsidRPr="00720E83" w:rsidTr="00153A5C">
        <w:trPr>
          <w:gridAfter w:val="6"/>
          <w:wAfter w:w="16351" w:type="dxa"/>
          <w:tblHeader/>
          <w:jc w:val="center"/>
        </w:trPr>
        <w:tc>
          <w:tcPr>
            <w:tcW w:w="434" w:type="dxa"/>
            <w:tcBorders>
              <w:right w:val="nil"/>
            </w:tcBorders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Индикатор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873" w:type="dxa"/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2017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2018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2019</w:t>
            </w:r>
          </w:p>
        </w:tc>
      </w:tr>
      <w:tr w:rsidR="00A32730" w:rsidRPr="00720E83" w:rsidTr="00153A5C">
        <w:trPr>
          <w:jc w:val="center"/>
        </w:trPr>
        <w:tc>
          <w:tcPr>
            <w:tcW w:w="12240" w:type="dxa"/>
            <w:gridSpan w:val="7"/>
            <w:shd w:val="clear" w:color="auto" w:fill="FFFFFF"/>
            <w:vAlign w:val="center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ПРЕКИ ИНДИКАТОРИ</w:t>
            </w:r>
          </w:p>
        </w:tc>
        <w:tc>
          <w:tcPr>
            <w:tcW w:w="2160" w:type="dxa"/>
            <w:gridSpan w:val="2"/>
            <w:tcBorders>
              <w:top w:val="nil"/>
            </w:tcBorders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5" w:type="dxa"/>
            <w:gridSpan w:val="2"/>
            <w:tcBorders>
              <w:top w:val="nil"/>
            </w:tcBorders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  <w:shd w:val="clear" w:color="auto" w:fill="FFFFFF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14" w:hanging="357"/>
              <w:contextualSpacing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създаване и подобряване на бизнес средата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Създадени регионални клъстери и мрежи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Подобрени тържища и борси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обекти на местната бизнес инфраструктура (регионални бизнес офиси, изложбени зали, бизнес инкубатори, бизнес центрове, индустриални паркове, производствени зони, технопаркове, техноинкубатори и др.)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разработени/внедрени иновации в общината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в областта на селското и горското стопанство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стимулиране на ефективното взаимодействие между образованието и бизнеса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 Създадени „онлайн” административни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Разработени и изпълнени проекти, подпомагащи реализацията на местни (вкл. за водни басейни) стратегии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Проведени културно-масови мероприятия на годишна база в т.ч етнографски фестивали и празници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Новосъздадени/подобрени туристически атракции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Стратегически програми за развитие на туризма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Новоизградени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ru-RU" w:eastAsia="bg-BG"/>
              </w:rPr>
              <w:t xml:space="preserve"> 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и/или обновени туристически обекти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Новоизградени/модернизирани културни обекти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Обновена пътна инфраструктура в туристическите ареали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 лифт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Съвместни маркетингови дейности за популяризиране на общината като туристическа дестинация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Международни туристически изложения/панаири, на които общината е представена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за подобряване техническата и инженерна инфраструктура за предоставяне на социални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</w:t>
            </w:r>
          </w:p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за подобряване и диверсификация на институционална среда за предоставяне на социални услуги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за повишаване капацитета на социални заведения в общината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за участие в образователни и обучителни схеми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Осигурени компютърни конфигурации в училищата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Новоизградени детски и спортни площадки и др.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Реализирани проекти в областта на ВЕИ и енергийната ефективност в публични сгради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ПСОВ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депа за третиране на отпадъци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Намаление на загубите на вода във водоснабдителната мрежа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59,96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59,13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Население (жители) с подобрено третиране на отпадъчните води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Изградена нова канализационна мрежа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Обновени водопроводни и канализационни мрежи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1,700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3,040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Отпадни води, подложени на първично пречистване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Отпадни води, подложени на вторично пречистване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водоснабдяване и канализация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Домакинства/стопански предприятия, обслужвани от нови/подобрени системи за газифициране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Домакинства/стопански предприятия, обслужвани от нови/подобрени системи за възобновяеми източници на енергия.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Дължина на построена газопроводна мрежа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Дължина на обновена електропреносна мрежа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Укрепени защитни диги по р. Дунав и р. Осъм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Построени нови пътища и велоалеи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Построени нови паркове и площи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Подобрени общински пътища в лошо състояние и такива без настилка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Подобрена улична мрежа в лошо състояние 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1,3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5,5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1,04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проекти в областта на екологията и </w:t>
            </w:r>
          </w:p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биоразнообразието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Изградени системи за непрекъснато следене на замърсяването на въздуха, водата и почвата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бр.вкл. населени места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Население, ползващо се от мерки за защита от наводнения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Премахнати нерегламентирани сметища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Дял на населението обхванато от системата на организирано сметосъбиране и сметоизвозване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100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Намаляване на парниковите газове еквивалент тон CO2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Еквивалент тон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Общински служители, участвали в програми за обучение.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Реализирани  проекти за развитие на регионални и местни партньорства (административни/ икономически/ социални)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434" w:type="dxa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29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333" w:type="dxa"/>
            <w:gridSpan w:val="2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Общо усвоени средства, инвестирани на територията на общината от ЕС 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хил.лв.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5 425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6 389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724,8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2 528,45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3 335,79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4 629,20</w:t>
            </w:r>
          </w:p>
        </w:tc>
      </w:tr>
      <w:tr w:rsidR="00A32730" w:rsidRPr="00720E83" w:rsidTr="00153A5C">
        <w:trPr>
          <w:jc w:val="center"/>
        </w:trPr>
        <w:tc>
          <w:tcPr>
            <w:tcW w:w="12240" w:type="dxa"/>
            <w:gridSpan w:val="7"/>
            <w:tcBorders>
              <w:top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</w:tcBorders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14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32730" w:rsidRPr="00720E83" w:rsidTr="00153A5C">
        <w:trPr>
          <w:gridAfter w:val="7"/>
          <w:wAfter w:w="1080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12780" w:type="dxa"/>
            <w:gridSpan w:val="6"/>
            <w:tcBorders>
              <w:right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b/>
                <w:sz w:val="24"/>
                <w:szCs w:val="24"/>
                <w:lang w:eastAsia="bg-BG"/>
              </w:rPr>
              <w:t>КОСВЕНИ ИНДИКАТОРИ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Garamond" w:eastAsia="Calibri" w:hAnsi="Garamond" w:cs="Times New Roman"/>
                <w:lang w:val="en-US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Равнище на безработица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41,9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35,9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27,1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27,0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Равнище на средна работна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ru-RU" w:eastAsia="bg-BG"/>
              </w:rPr>
              <w:t xml:space="preserve"> 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заплата*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69,27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70,51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Местни и чуждестранни инвестиции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хил.лв.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Сключени договори с работодатели по мерките за насърчаване на заетостта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080" w:type="dxa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Безработни лица, включени в мерките за насърчаване на заетостта.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Включени безработни лица в квалификационни курсове.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720E83">
              <w:rPr>
                <w:rFonts w:ascii="Garamond" w:eastAsia="Calibri" w:hAnsi="Garamond" w:cs="Times New Roman"/>
              </w:rPr>
              <w:t>5</w:t>
            </w: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Брой наети в предприятия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556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Приходи от посетители на туристически и културни обекти и забележителности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 лева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Туристи, посетили туристически и културни обекти и забележителности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Брой практикували/стажували в предприятия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 xml:space="preserve">Разходи за здравеопазване на общината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хил.лева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1 025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914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836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161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177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Обезпеченост с лекари и лекари по дентална медицина на 1000 души (лекари/лекари по дентална медицина)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bg-BG"/>
              </w:rPr>
              <w:t>0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/</w:t>
            </w:r>
            <w:r w:rsidRPr="00720E83">
              <w:rPr>
                <w:rFonts w:ascii="Garamond" w:eastAsia="Times New Roman" w:hAnsi="Garamond" w:cs="Times New Roman"/>
                <w:sz w:val="24"/>
                <w:szCs w:val="24"/>
                <w:vertAlign w:val="subscript"/>
                <w:lang w:eastAsia="bg-BG"/>
              </w:rPr>
              <w:t>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0,63/</w:t>
            </w:r>
          </w:p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0,59/</w:t>
            </w:r>
          </w:p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0,56/</w:t>
            </w:r>
          </w:p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0,049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0,56/</w:t>
            </w:r>
          </w:p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0,049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0,62/ 0,21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Обработваеми земеделски площи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225 725,992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Поливни земеделски площи.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Новозалесени площи в горското стопанство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158,268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Трайни насаждения и билки.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873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Животновъдни ферми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20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416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  <w:shd w:val="clear" w:color="auto" w:fill="auto"/>
          </w:tcPr>
          <w:p w:rsidR="00A32730" w:rsidRPr="00720E83" w:rsidRDefault="00A32730" w:rsidP="00153A5C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МСП, получаващи финансова помощ за обучение (мащаб, тип, продължителност).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32730" w:rsidRPr="00720E83" w:rsidTr="00153A5C">
        <w:trPr>
          <w:gridAfter w:val="6"/>
          <w:wAfter w:w="16351" w:type="dxa"/>
          <w:jc w:val="center"/>
        </w:trPr>
        <w:tc>
          <w:tcPr>
            <w:tcW w:w="540" w:type="dxa"/>
            <w:gridSpan w:val="2"/>
          </w:tcPr>
          <w:p w:rsidR="00A32730" w:rsidRPr="00720E83" w:rsidRDefault="00A32730" w:rsidP="00153A5C">
            <w:pPr>
              <w:keepNext/>
              <w:keepLines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lang w:val="en-US" w:eastAsia="bg-BG"/>
              </w:rPr>
            </w:pPr>
            <w:r w:rsidRPr="00720E83">
              <w:rPr>
                <w:rFonts w:ascii="Garamond" w:eastAsia="Times New Roman" w:hAnsi="Garamond" w:cs="Times New Roman"/>
                <w:lang w:val="en-US" w:eastAsia="bg-BG"/>
              </w:rPr>
              <w:t>19.</w:t>
            </w:r>
          </w:p>
        </w:tc>
        <w:tc>
          <w:tcPr>
            <w:tcW w:w="7227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Фирми, разположени в бизнес паркове и/или техноинкубатори.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80" w:type="dxa"/>
          </w:tcPr>
          <w:p w:rsidR="00A32730" w:rsidRPr="00720E83" w:rsidRDefault="00A32730" w:rsidP="00153A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</w:pPr>
            <w:r w:rsidRPr="00720E83">
              <w:rPr>
                <w:rFonts w:ascii="Garamond" w:eastAsia="Times New Roman" w:hAnsi="Garamond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32730" w:rsidRPr="00720E83" w:rsidTr="00153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7"/>
          <w:wBefore w:w="13320" w:type="dxa"/>
          <w:wAfter w:w="1080" w:type="dxa"/>
          <w:trHeight w:val="100"/>
          <w:jc w:val="center"/>
        </w:trPr>
        <w:tc>
          <w:tcPr>
            <w:tcW w:w="1080" w:type="dxa"/>
          </w:tcPr>
          <w:p w:rsidR="00A32730" w:rsidRPr="00720E83" w:rsidRDefault="00A32730" w:rsidP="00153A5C">
            <w:pPr>
              <w:keepNext/>
              <w:keepLines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bg-BG"/>
              </w:rPr>
            </w:pPr>
          </w:p>
        </w:tc>
      </w:tr>
    </w:tbl>
    <w:p w:rsidR="00A32730" w:rsidRDefault="00A32730" w:rsidP="00A32730">
      <w:pPr>
        <w:keepNext/>
        <w:keepLine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</w:pPr>
      <w:r w:rsidRPr="00720E83">
        <w:rPr>
          <w:rFonts w:ascii="Garamond" w:eastAsia="Times New Roman" w:hAnsi="Garamond" w:cs="Times New Roman"/>
          <w:sz w:val="20"/>
          <w:szCs w:val="20"/>
          <w:lang w:eastAsia="bg-BG"/>
        </w:rPr>
        <w:t>* Спрямо средната за страната**Годишни доклади 2014, 2015, 2016</w:t>
      </w:r>
      <w:r w:rsidRPr="00720E83">
        <w:rPr>
          <w:rFonts w:ascii="Garamond" w:eastAsia="Times New Roman" w:hAnsi="Garamond" w:cs="Times New Roman"/>
          <w:sz w:val="20"/>
          <w:szCs w:val="20"/>
          <w:lang w:val="en-US" w:eastAsia="bg-BG"/>
        </w:rPr>
        <w:t>,</w:t>
      </w:r>
      <w:r w:rsidRPr="00720E83">
        <w:rPr>
          <w:rFonts w:ascii="Garamond" w:eastAsia="Times New Roman" w:hAnsi="Garamond" w:cs="Times New Roman"/>
          <w:sz w:val="20"/>
          <w:szCs w:val="20"/>
          <w:lang w:eastAsia="bg-BG"/>
        </w:rPr>
        <w:t xml:space="preserve"> 2017</w:t>
      </w:r>
      <w:r w:rsidRPr="00720E83">
        <w:rPr>
          <w:rFonts w:ascii="Garamond" w:eastAsia="Times New Roman" w:hAnsi="Garamond" w:cs="Times New Roman"/>
          <w:sz w:val="20"/>
          <w:szCs w:val="20"/>
          <w:lang w:val="en-US" w:eastAsia="bg-BG"/>
        </w:rPr>
        <w:t xml:space="preserve"> </w:t>
      </w:r>
      <w:r w:rsidRPr="00720E83">
        <w:rPr>
          <w:rFonts w:ascii="Garamond" w:eastAsia="Times New Roman" w:hAnsi="Garamond" w:cs="Times New Roman"/>
          <w:sz w:val="20"/>
          <w:szCs w:val="20"/>
          <w:lang w:eastAsia="bg-BG"/>
        </w:rPr>
        <w:t>и 2018 г. „-„ Липсват данни</w:t>
      </w:r>
    </w:p>
    <w:p w:rsidR="00A32730" w:rsidRDefault="00A32730" w:rsidP="00A32730">
      <w:pPr>
        <w:keepNext/>
        <w:keepLines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  <w:sectPr w:rsidR="00A32730" w:rsidSect="00153A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32730" w:rsidRPr="00A87EF4" w:rsidRDefault="00A32730" w:rsidP="00A3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A32730" w:rsidRDefault="00A32730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  <w:sectPr w:rsidR="00A32730" w:rsidSect="00A32730">
          <w:pgSz w:w="16838" w:h="11906" w:orient="landscape"/>
          <w:pgMar w:top="709" w:right="425" w:bottom="992" w:left="851" w:header="709" w:footer="709" w:gutter="0"/>
          <w:cols w:space="708"/>
          <w:docGrid w:linePitch="360"/>
        </w:sectPr>
      </w:pPr>
    </w:p>
    <w:p w:rsidR="000428A7" w:rsidRPr="00A87EF4" w:rsidRDefault="000428A7" w:rsidP="0004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Ефикасността  на изпълнението е оценена на база съпоставката на заложения при разработване на ОПР 2014-2020 финансов ресурс, посочен във Финансово индикативната таблица (ФИТ – Таблица  № 21), с реално вложените ресурси </w:t>
      </w: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реализиране на марките и дейностите по всеки приоритет. Основните източници на финансиране и тяхното дялово разпределение, посочени във ФИТ са:</w:t>
      </w:r>
    </w:p>
    <w:p w:rsidR="000428A7" w:rsidRPr="00A87EF4" w:rsidRDefault="000428A7" w:rsidP="000428A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Общински бюджет – 5 %;</w:t>
      </w:r>
    </w:p>
    <w:p w:rsidR="000428A7" w:rsidRPr="00A87EF4" w:rsidRDefault="000428A7" w:rsidP="000428A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Calibri" w:hAnsi="Times New Roman" w:cs="Times New Roman"/>
          <w:sz w:val="24"/>
          <w:szCs w:val="24"/>
          <w:lang w:eastAsia="bg-BG"/>
        </w:rPr>
        <w:t>Централен бюджет – 15%;</w:t>
      </w:r>
    </w:p>
    <w:p w:rsidR="000428A7" w:rsidRPr="00A87EF4" w:rsidRDefault="000428A7" w:rsidP="000428A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Calibri" w:hAnsi="Times New Roman" w:cs="Times New Roman"/>
          <w:sz w:val="24"/>
          <w:szCs w:val="24"/>
          <w:lang w:eastAsia="bg-BG"/>
        </w:rPr>
        <w:t>Фондове на ЕС – 75 - 77 %;</w:t>
      </w:r>
    </w:p>
    <w:p w:rsidR="000428A7" w:rsidRPr="00A87EF4" w:rsidRDefault="000428A7" w:rsidP="000428A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Calibri" w:hAnsi="Times New Roman" w:cs="Times New Roman"/>
          <w:sz w:val="24"/>
          <w:szCs w:val="24"/>
          <w:lang w:eastAsia="bg-BG"/>
        </w:rPr>
        <w:t>Други източници – 3%.</w:t>
      </w:r>
    </w:p>
    <w:p w:rsidR="000428A7" w:rsidRPr="00A87EF4" w:rsidRDefault="000428A7" w:rsidP="0004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 на фондовете на ЕС като главен източник на средства води до забавяне и в значителна степен застрашава изпълнението на плана. Необходимо е общинската администрация да потърси и други възможности за финансиране.</w:t>
      </w:r>
    </w:p>
    <w:p w:rsidR="000428A7" w:rsidRPr="00A87EF4" w:rsidRDefault="000428A7" w:rsidP="0004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таблицата по-долу са дадени обобщени количествени данни за планираното и изпълненото по ФИТ за периода 2014-2018 г. </w:t>
      </w:r>
    </w:p>
    <w:p w:rsidR="000428A7" w:rsidRPr="00A87EF4" w:rsidRDefault="000428A7" w:rsidP="000428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bg-BG"/>
        </w:rPr>
        <w:t>Таблица № 22</w:t>
      </w:r>
    </w:p>
    <w:p w:rsidR="000428A7" w:rsidRPr="00A87EF4" w:rsidRDefault="000428A7" w:rsidP="000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87E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Финансово изпълнение на ОПР 2014-2020 за периода 2014-20</w:t>
      </w:r>
      <w:r w:rsidRPr="00A87E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19</w:t>
      </w:r>
      <w:r w:rsidRPr="00A87E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 обобщена)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1716"/>
        <w:gridCol w:w="1723"/>
        <w:gridCol w:w="1600"/>
      </w:tblGrid>
      <w:tr w:rsidR="000428A7" w:rsidRPr="00A87EF4" w:rsidTr="00153A5C">
        <w:tc>
          <w:tcPr>
            <w:tcW w:w="0" w:type="auto"/>
            <w:shd w:val="clear" w:color="auto" w:fill="FDE9D9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</w:t>
            </w:r>
          </w:p>
        </w:tc>
        <w:tc>
          <w:tcPr>
            <w:tcW w:w="1716" w:type="dxa"/>
            <w:shd w:val="clear" w:color="auto" w:fill="FDE9D9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Планиран, лева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Изпълнен*, лева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Изпълнение,</w:t>
            </w:r>
          </w:p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%</w:t>
            </w:r>
          </w:p>
        </w:tc>
      </w:tr>
      <w:tr w:rsidR="000428A7" w:rsidRPr="00A87EF4" w:rsidTr="00153A5C">
        <w:tc>
          <w:tcPr>
            <w:tcW w:w="0" w:type="auto"/>
            <w:shd w:val="clear" w:color="auto" w:fill="auto"/>
          </w:tcPr>
          <w:p w:rsidR="000428A7" w:rsidRPr="00A87EF4" w:rsidRDefault="000428A7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№1. Устойчив растеж и икономическо развитие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5 155 000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824 505</w:t>
            </w: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</w:p>
        </w:tc>
      </w:tr>
      <w:tr w:rsidR="000428A7" w:rsidRPr="00A87EF4" w:rsidTr="00153A5C">
        <w:tc>
          <w:tcPr>
            <w:tcW w:w="0" w:type="auto"/>
            <w:shd w:val="clear" w:color="auto" w:fill="auto"/>
          </w:tcPr>
          <w:p w:rsidR="000428A7" w:rsidRPr="00A87EF4" w:rsidRDefault="000428A7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2. Постигане на социална кохезия чрез укрепване и развитие на човешкия капитал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10 575 000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6 022 003,16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57,00</w:t>
            </w:r>
          </w:p>
        </w:tc>
      </w:tr>
      <w:tr w:rsidR="000428A7" w:rsidRPr="00A87EF4" w:rsidTr="00153A5C">
        <w:tc>
          <w:tcPr>
            <w:tcW w:w="0" w:type="auto"/>
            <w:shd w:val="clear" w:color="auto" w:fill="auto"/>
          </w:tcPr>
          <w:p w:rsidR="000428A7" w:rsidRPr="00A87EF4" w:rsidRDefault="000428A7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 3. Техническа и инженерна инфраструктура.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96 070 000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16 221 261,00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6,88</w:t>
            </w:r>
          </w:p>
        </w:tc>
      </w:tr>
      <w:tr w:rsidR="000428A7" w:rsidRPr="00A87EF4" w:rsidTr="00153A5C">
        <w:tc>
          <w:tcPr>
            <w:tcW w:w="0" w:type="auto"/>
            <w:shd w:val="clear" w:color="auto" w:fill="auto"/>
          </w:tcPr>
          <w:p w:rsidR="000428A7" w:rsidRPr="00A87EF4" w:rsidRDefault="000428A7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№4. Екологично развитие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2 760 000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72 618,00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2,63</w:t>
            </w:r>
          </w:p>
        </w:tc>
      </w:tr>
      <w:tr w:rsidR="000428A7" w:rsidRPr="00A87EF4" w:rsidTr="00153A5C">
        <w:tc>
          <w:tcPr>
            <w:tcW w:w="0" w:type="auto"/>
            <w:shd w:val="clear" w:color="auto" w:fill="auto"/>
          </w:tcPr>
          <w:p w:rsidR="000428A7" w:rsidRPr="00A87EF4" w:rsidRDefault="000428A7" w:rsidP="0015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Приоритет №5. Укрепване на административния капацитет и развитие на нови професионални умения.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585 000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32 782,00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5,64</w:t>
            </w:r>
          </w:p>
        </w:tc>
      </w:tr>
      <w:tr w:rsidR="000428A7" w:rsidRPr="00A87EF4" w:rsidTr="00153A5C">
        <w:tc>
          <w:tcPr>
            <w:tcW w:w="0" w:type="auto"/>
            <w:shd w:val="clear" w:color="auto" w:fill="auto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115 145 000,00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23 173 199,16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28A7" w:rsidRPr="00A87EF4" w:rsidRDefault="000428A7" w:rsidP="001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7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20,13</w:t>
            </w:r>
          </w:p>
        </w:tc>
      </w:tr>
    </w:tbl>
    <w:p w:rsidR="000428A7" w:rsidRPr="00A87EF4" w:rsidRDefault="000428A7" w:rsidP="0004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0428A7" w:rsidRPr="00A87EF4" w:rsidRDefault="000428A7" w:rsidP="0004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87EF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*Забележка.</w:t>
      </w:r>
      <w:r w:rsidRPr="00A87EF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Посочена е  сумата на реално вложените и усвоени средства установена при анализ на данните посочени в Годишните доклади по изпълнение на плана, Касовите отчети за изпълнение на бюджета и официално публикуваните данни на страниците на управляващите органи на оперативните програми, отнасящи се до изпълнение на ФИТ.</w:t>
      </w:r>
    </w:p>
    <w:p w:rsidR="000428A7" w:rsidRPr="00A87EF4" w:rsidRDefault="000428A7" w:rsidP="0004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8A7" w:rsidRPr="00A87EF4" w:rsidRDefault="000428A7" w:rsidP="00E8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2014-201</w:t>
      </w:r>
      <w:r w:rsidRPr="00A87E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основен източник на средства продължават да бъдат фондовете на ЕС с над 75% от общо вложените средства. </w:t>
      </w:r>
    </w:p>
    <w:p w:rsidR="000428A7" w:rsidRPr="00A87EF4" w:rsidRDefault="000428A7" w:rsidP="00E85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ниска ефикасност на вложените ресурси. Същите не могат да постигнат заложения резултат по изпълнение на плана. </w:t>
      </w:r>
    </w:p>
    <w:p w:rsidR="000428A7" w:rsidRPr="00A87EF4" w:rsidRDefault="000428A7" w:rsidP="00E85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8A7" w:rsidRPr="00A87EF4" w:rsidRDefault="000428A7" w:rsidP="00E858B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  <w:r w:rsidRPr="00A87EF4"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  <w:t>ІV. Заключения и предложения за подобряване на резултатите от наблюдението.</w:t>
      </w:r>
    </w:p>
    <w:p w:rsidR="000428A7" w:rsidRPr="00A87EF4" w:rsidRDefault="000428A7" w:rsidP="00E858B5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ru-RU" w:eastAsia="bg-BG"/>
        </w:rPr>
      </w:pPr>
    </w:p>
    <w:p w:rsidR="000428A7" w:rsidRPr="00A87EF4" w:rsidRDefault="000428A7" w:rsidP="00E858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F4">
        <w:rPr>
          <w:rFonts w:ascii="Times New Roman" w:eastAsia="Calibri" w:hAnsi="Times New Roman" w:cs="Times New Roman"/>
          <w:sz w:val="24"/>
          <w:szCs w:val="24"/>
        </w:rPr>
        <w:t>Социално-икономическите условия, в които се изпълнява плана не са се подобрили. Независимо от това, че тези условия не са единствено функция на реализиране на ОПР, но и резултат от националните политики по отделни сфери на социалния живот и икономиката, важно е да се търсят директни подходи, като при необходимост се предприемат и мерки по отношение изменения в самия план;</w:t>
      </w:r>
    </w:p>
    <w:p w:rsidR="000428A7" w:rsidRPr="00A87EF4" w:rsidRDefault="000428A7" w:rsidP="00E858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F4">
        <w:rPr>
          <w:rFonts w:ascii="Times New Roman" w:eastAsia="Calibri" w:hAnsi="Times New Roman" w:cs="Times New Roman"/>
          <w:sz w:val="24"/>
          <w:szCs w:val="24"/>
        </w:rPr>
        <w:t>Напредъкът по изпълнение на поставените цели е ограничен, като по някои от целите липсва такъв;</w:t>
      </w:r>
    </w:p>
    <w:p w:rsidR="000428A7" w:rsidRPr="00A87EF4" w:rsidRDefault="000428A7" w:rsidP="00E858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F4">
        <w:rPr>
          <w:rFonts w:ascii="Times New Roman" w:eastAsia="Calibri" w:hAnsi="Times New Roman" w:cs="Times New Roman"/>
          <w:sz w:val="24"/>
          <w:szCs w:val="24"/>
        </w:rPr>
        <w:t>Основните усилия на общината при изпълнението на плана за развитие са в областта на реконструкция и рехабилитация на базова инфраструктура и развитие на човешкия капитал;</w:t>
      </w:r>
    </w:p>
    <w:p w:rsidR="000428A7" w:rsidRPr="00A87EF4" w:rsidRDefault="000428A7" w:rsidP="00E858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F4">
        <w:rPr>
          <w:rFonts w:ascii="Times New Roman" w:eastAsia="Calibri" w:hAnsi="Times New Roman" w:cs="Times New Roman"/>
          <w:sz w:val="24"/>
          <w:szCs w:val="24"/>
        </w:rPr>
        <w:t>Темпът на реализиране на плана застрашава в значителна степен постигането на целите. Реално, приблизително   26,30 % от заложените цели са реализирани мерки и проекти и/или има доказателство за тяхното постигане и изпълнение на стратегическата цел по ОПР;</w:t>
      </w:r>
    </w:p>
    <w:p w:rsidR="000428A7" w:rsidRPr="00A87EF4" w:rsidRDefault="000428A7" w:rsidP="00E858B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 С Решение № 272 от 28.11.2017 г.  на Общинския съвет  е  приет актуализиран документ за изпълнение, допълващ Общински план за развитие </w:t>
      </w:r>
      <w:smartTag w:uri="urn:schemas-microsoft-com:office:smarttags" w:element="metricconverter">
        <w:smartTagPr>
          <w:attr w:name="ProductID" w:val="2014 г"/>
        </w:smartTagPr>
        <w:r w:rsidRPr="00A87EF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2014 г</w:t>
        </w:r>
      </w:smartTag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smartTag w:uri="urn:schemas-microsoft-com:office:smarttags" w:element="metricconverter">
        <w:smartTagPr>
          <w:attr w:name="ProductID" w:val="-2020 г"/>
        </w:smartTagPr>
        <w:r w:rsidRPr="00A87EF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-2020 г</w:t>
        </w:r>
      </w:smartTag>
      <w:r w:rsidRPr="00A87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Община Никопол и  измененията  и допълненията направени в него  ще бъдат отчетени със следващия  годишен доклад. </w:t>
      </w:r>
    </w:p>
    <w:p w:rsidR="000428A7" w:rsidRPr="00A87EF4" w:rsidRDefault="000428A7" w:rsidP="00E858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28A7" w:rsidRPr="00720E83" w:rsidRDefault="000428A7" w:rsidP="00E858B5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bg-BG"/>
        </w:rPr>
      </w:pPr>
    </w:p>
    <w:p w:rsidR="00153A5C" w:rsidRPr="00153A5C" w:rsidRDefault="00153A5C" w:rsidP="00153A5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3A5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6B020" wp14:editId="77DF7EC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8TPAIAAEM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LvzLxM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153A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153A5C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153A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девета   точка от дневния ред</w:t>
      </w: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№75/27.03.2020г.</w:t>
      </w: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153A5C">
        <w:rPr>
          <w:rFonts w:ascii="Times New Roman" w:hAnsi="Times New Roman" w:cs="Times New Roman"/>
          <w:sz w:val="24"/>
          <w:szCs w:val="24"/>
        </w:rPr>
        <w:t xml:space="preserve"> </w:t>
      </w:r>
      <w:r w:rsidRPr="00153A5C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153A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3A5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153A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II</w:t>
      </w:r>
      <w:r w:rsidRPr="00153A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53A5C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153A5C" w:rsidRPr="00153A5C" w:rsidRDefault="00153A5C" w:rsidP="001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основание чл.21, ал.1, т.23 от ЗМСМА, във връзка с чл.65, ал.2 Правилника за организацията и дейността на Общински съвет-Никопол, неговите комисии и взаимодействието му с Общинската администрация за периода 2019г.-2023г., Общински съвет- Никопол</w:t>
      </w:r>
    </w:p>
    <w:p w:rsidR="00153A5C" w:rsidRPr="00153A5C" w:rsidRDefault="00153A5C" w:rsidP="001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53A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.Утвърждава План-график за работата на Общински съвет-Никопол, мандат 2019 г.- 2023 г. за </w:t>
      </w:r>
      <w:r w:rsidRPr="00153A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153A5C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тримесечие на 2020 г., съгласно Приложение № 1.</w:t>
      </w:r>
    </w:p>
    <w:p w:rsidR="00153A5C" w:rsidRPr="00153A5C" w:rsidRDefault="00153A5C" w:rsidP="001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A5C" w:rsidRPr="00153A5C" w:rsidRDefault="00153A5C" w:rsidP="00153A5C">
      <w:pPr>
        <w:spacing w:after="0" w:line="240" w:lineRule="auto"/>
        <w:rPr>
          <w:sz w:val="24"/>
          <w:szCs w:val="24"/>
        </w:rPr>
      </w:pPr>
    </w:p>
    <w:p w:rsidR="00153A5C" w:rsidRPr="00153A5C" w:rsidRDefault="00153A5C" w:rsidP="0015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153A5C" w:rsidRPr="00153A5C" w:rsidRDefault="00153A5C" w:rsidP="0015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153A5C" w:rsidRPr="00153A5C" w:rsidRDefault="00153A5C" w:rsidP="0015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3A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153A5C" w:rsidRPr="00153A5C" w:rsidRDefault="00153A5C" w:rsidP="00153A5C">
      <w:pPr>
        <w:rPr>
          <w:sz w:val="24"/>
          <w:szCs w:val="24"/>
        </w:rPr>
      </w:pPr>
    </w:p>
    <w:p w:rsidR="002954F7" w:rsidRPr="00153A5C" w:rsidRDefault="002954F7" w:rsidP="00E8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05" w:rsidRPr="00153A5C" w:rsidRDefault="00123B05" w:rsidP="00E858B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B05" w:rsidRPr="00153A5C" w:rsidRDefault="00123B05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05" w:rsidRPr="00153A5C" w:rsidRDefault="00123B05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05" w:rsidRPr="00153A5C" w:rsidRDefault="00123B05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90" w:rsidRDefault="00E60790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0790" w:rsidSect="00A32730">
          <w:pgSz w:w="11906" w:h="16838"/>
          <w:pgMar w:top="851" w:right="709" w:bottom="425" w:left="992" w:header="709" w:footer="709" w:gutter="0"/>
          <w:cols w:space="708"/>
          <w:docGrid w:linePitch="360"/>
        </w:sectPr>
      </w:pPr>
    </w:p>
    <w:p w:rsidR="00E60790" w:rsidRPr="004C3749" w:rsidRDefault="00E60790" w:rsidP="00E60790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</w:p>
    <w:p w:rsidR="00E60790" w:rsidRPr="004C3749" w:rsidRDefault="00E60790" w:rsidP="00E6079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790" w:rsidRPr="004C3749" w:rsidRDefault="00E60790" w:rsidP="00E6079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Приет с Решение № 75/ 27.03.2020г.</w:t>
      </w:r>
    </w:p>
    <w:p w:rsidR="00E60790" w:rsidRPr="004C3749" w:rsidRDefault="00E60790" w:rsidP="00E6079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на Общински съвет-Никопол</w:t>
      </w:r>
    </w:p>
    <w:p w:rsidR="00E60790" w:rsidRPr="004C3749" w:rsidRDefault="00E60790" w:rsidP="00E6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790" w:rsidRPr="004C3749" w:rsidRDefault="00E60790" w:rsidP="00E607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:rsidR="00E60790" w:rsidRPr="004C3749" w:rsidRDefault="00E60790" w:rsidP="00E6079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:rsidR="00E60790" w:rsidRPr="004C3749" w:rsidRDefault="00E60790" w:rsidP="00E607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съвет- Никопол </w:t>
      </w:r>
    </w:p>
    <w:p w:rsidR="00E60790" w:rsidRPr="004C3749" w:rsidRDefault="00E60790" w:rsidP="00E6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790" w:rsidRPr="004C3749" w:rsidRDefault="00E60790" w:rsidP="00E6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ПЛАН- ГРАФИК </w:t>
      </w:r>
    </w:p>
    <w:p w:rsidR="00E60790" w:rsidRPr="004C3749" w:rsidRDefault="00E60790" w:rsidP="00E6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:rsidR="00E60790" w:rsidRPr="004C3749" w:rsidRDefault="00E60790" w:rsidP="00E6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-то ТРИМЕСЕЧИЕ НА 2020 г..</w:t>
      </w:r>
    </w:p>
    <w:p w:rsidR="00E60790" w:rsidRPr="004C3749" w:rsidRDefault="00E60790" w:rsidP="00E6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790" w:rsidRPr="004C3749" w:rsidRDefault="00E60790" w:rsidP="00E6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19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2309"/>
        <w:gridCol w:w="2340"/>
        <w:gridCol w:w="2891"/>
      </w:tblGrid>
      <w:tr w:rsidR="00E60790" w:rsidRPr="004C3749" w:rsidTr="00CB2722">
        <w:trPr>
          <w:trHeight w:val="25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Месец </w:t>
            </w:r>
            <w:r w:rsidRPr="00771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април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2020г.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 май</w:t>
            </w: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2020г.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Месец юни</w:t>
            </w: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2020г.</w:t>
            </w:r>
          </w:p>
        </w:tc>
      </w:tr>
      <w:tr w:rsidR="00E60790" w:rsidRPr="004C3749" w:rsidTr="00CB2722">
        <w:trPr>
          <w:trHeight w:val="45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13.04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11.05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12.06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</w:tr>
      <w:tr w:rsidR="00E60790" w:rsidRPr="004C3749" w:rsidTr="00CB2722">
        <w:trPr>
          <w:trHeight w:val="97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21.04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20.05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19.06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</w:tr>
      <w:tr w:rsidR="00E60790" w:rsidRPr="004C3749" w:rsidTr="00CB2722">
        <w:trPr>
          <w:trHeight w:val="46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C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29.04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28.05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790" w:rsidRPr="004C3749" w:rsidRDefault="00E60790" w:rsidP="00CB2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26.06</w:t>
            </w:r>
            <w:r w:rsidRPr="004C3749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</w:tr>
    </w:tbl>
    <w:p w:rsidR="00E60790" w:rsidRPr="004C3749" w:rsidRDefault="00E60790" w:rsidP="00E6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0790" w:rsidRPr="004C3749" w:rsidRDefault="00E60790" w:rsidP="00E6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0790" w:rsidRPr="004C3749" w:rsidRDefault="00E60790" w:rsidP="00E6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</w:t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:rsidR="00E60790" w:rsidRPr="004C3749" w:rsidRDefault="00E60790" w:rsidP="00E6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2019-2023, свързани със</w:t>
      </w:r>
    </w:p>
    <w:p w:rsidR="00E60790" w:rsidRPr="004C3749" w:rsidRDefault="00E60790" w:rsidP="00E6079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:rsidR="00E60790" w:rsidRPr="004C3749" w:rsidRDefault="00E60790" w:rsidP="00E6079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необходимо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:rsidR="00E60790" w:rsidRPr="004C3749" w:rsidRDefault="00E60790" w:rsidP="00E6079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4C3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:rsidR="00E60790" w:rsidRPr="004C3749" w:rsidRDefault="00E60790" w:rsidP="00E6079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Правилника.</w:t>
      </w:r>
    </w:p>
    <w:p w:rsidR="00E60790" w:rsidRPr="005B4EED" w:rsidRDefault="00E60790" w:rsidP="00E6079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123B05" w:rsidRDefault="00123B05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43" w:rsidRDefault="00695243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43" w:rsidRDefault="00695243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43" w:rsidRDefault="00695243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43" w:rsidRDefault="00695243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243" w:rsidSect="00E60790">
          <w:pgSz w:w="16838" w:h="11906" w:orient="landscape"/>
          <w:pgMar w:top="709" w:right="425" w:bottom="992" w:left="851" w:header="709" w:footer="709" w:gutter="0"/>
          <w:cols w:space="708"/>
          <w:docGrid w:linePitch="360"/>
        </w:sectPr>
      </w:pPr>
    </w:p>
    <w:p w:rsidR="00243200" w:rsidRPr="00243200" w:rsidRDefault="00243200" w:rsidP="0024320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243200" w:rsidRPr="00243200" w:rsidRDefault="00243200" w:rsidP="0024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4320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69ABF" wp14:editId="154B708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noPQ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7rnnoPQIAAEU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243200" w:rsidRPr="00243200" w:rsidRDefault="00243200" w:rsidP="00243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2432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243200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2432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десета точка от дневния ред</w:t>
      </w:r>
    </w:p>
    <w:p w:rsidR="00243200" w:rsidRPr="00243200" w:rsidRDefault="00243200" w:rsidP="00243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№76/27.03.2020г.</w:t>
      </w:r>
    </w:p>
    <w:p w:rsidR="00243200" w:rsidRPr="00243200" w:rsidRDefault="00243200" w:rsidP="00243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243200">
        <w:rPr>
          <w:rFonts w:ascii="Times New Roman" w:hAnsi="Times New Roman" w:cs="Times New Roman"/>
          <w:sz w:val="24"/>
          <w:szCs w:val="24"/>
        </w:rPr>
        <w:t xml:space="preserve"> </w:t>
      </w: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43200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Разпореждане с вещи – частна общинска собственост /моторни превозни средства/ чрез продажба.</w:t>
      </w: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21, ал. 1, т. 8 от ЗМСМА във връзка с чл.8, ал.1, чл.34, ал.4 и чл. 35, ал. 1 от ЗОС и чл.56, ал.1, т.1, чл.57 от Наредба № 6 за реда за придобиване, управление и разпореждане с общинско имущество на Община Никопол и  </w:t>
      </w: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ешение № 47/29.01.2020 г.,Общински съвет – Никопол прие следното </w:t>
      </w: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1.Общински съвет – Никопол дава съгласи</w:t>
      </w:r>
      <w:r w:rsidRPr="00243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включи в Програмата за управление разпореждане с общинско имущество за 2020 година като се добави в точка едно – Продажби по реда на чл.35 от ЗОС, от списъка следните движими вещи: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 номер 15 /петнадесет/:  лек автомобил АУДИ А6 , цвят: тъмно син металик, с рег.№ ЕН8880АТ, год. на производство: 1998г., двигател – бензинов, с обем на двигателя: 2771 куб.см.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 номер 16 /шестнадесет/: лек автомобил ВАЗ 21214, цвят: зелен, с рег.№ ЕН7249АК, год. на производство: 2005г., двигател- бензинов, с обем на двигателя: 1690 куб.см;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-под номер 17 /седемнадесет/: специален автомобил УАЗ 452, цвят: бежов, с рег.№ С0042НХ, год. на производство: 1989г., двигател – бензинов, с обем на двигателя: 2445 куб.см;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 номер 18 /осемнадесет/: специален автомобил УАЗ 3962-01, цвят: светло син, с рег.№ ЕН2596ВА, год. на производство: 1994г., двигател – бензинов, с обем на двигателя: 2445 куб.см;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-под номер 19 /деветнадесет/: мотоциклет ЧЗ 350, цвят: червен, с рег.№ ЕН0723В, год.на производство: 1989г., с обем на двигателя: 343 куб.см.</w:t>
      </w: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2.Общински съвет – Никопол дава съгласие да се извърши продажба чрез публичен търг на следните моторни превозни средства: 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 лек автомобил </w:t>
      </w: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АУДИ А6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, цвят: тъмно син металик, с рег.№ ЕН8880АТ, год. на производство: 1998г., двигател – бензинов, с обем на двигателя: 2771 куб.см.;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лек автомобил </w:t>
      </w: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ВАЗ 21214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цвят: зелен, с рег.№ ЕН7249АК, год. на производство: 2005г., двигател- бензинов, с обем на двигателя: 1690 куб.см;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-специален автомобил </w:t>
      </w: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УАЗ 452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цвят: бежов, с рег.№ С0042НХ, год. на производство: 1989г., двигател – бензинов, с обем на двигателя: 2445 куб.см;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специален автомобил </w:t>
      </w: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УАЗ 3962-01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цвят: светло син, с рег.№ ЕН2596ВА, год. на производство: 1994г., двигател – бензинов, с обем на двигателя: 2445 куб.см;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-мотоциклет </w:t>
      </w: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ЧЗ 350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цвят: червен, с рег.№ ЕН0723В, год.на производство: 1989г., с обем на двигателя: 343 куб.см.</w:t>
      </w: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3.Общински съвет – Никопол приема докладите за пазарна оценка на моторните превозни средства, описани подробно в точка 2 /две/ от настоящото решение, както следва: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 лек автомобил АУДИ А6 , с рег.№ ЕН8880АТ – 1 730,00 лв. /хиляда седемстотин и тридесет лева/;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лек автомобил ВАЗ 21214, с рег.№ ЕН7249АК – 2700,00 лв. две хиляди и седемстотин лева/;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специален автомобил УАЗ 452, с рег.№ С0042НХ – 460,00 лв. /четиристотин и шестдесет лева/;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специален автомобил УАЗ 3962-01, с рег.№ ЕН2596ВА – 920,00 лв. /деветстотин и двадесет лева/;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мотоциклет ЧЗ 350, с рег.№ ЕН0723В – 310,00 лв. /триста и десет лева/</w:t>
      </w:r>
    </w:p>
    <w:p w:rsidR="00243200" w:rsidRPr="00243200" w:rsidRDefault="00243200" w:rsidP="00243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4.Общински съвет – Никопол дава съгласие моторните превозни средства, които останат непродадени след провеждане на публичния търг, да се бракуват и ликвидират по реда, установен с Процедурата за инвентаризация, бракуване и ликвидация на активи, пасиви и разчети в Община Никопол.</w:t>
      </w: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2432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о</w:t>
      </w:r>
      <w:r w:rsidRPr="002432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правомощава Кмета на Община Никопол да извърши всички правни и фактически действия, произтичащи от настоящото решение.</w:t>
      </w:r>
    </w:p>
    <w:p w:rsidR="00243200" w:rsidRPr="00243200" w:rsidRDefault="00243200" w:rsidP="00243200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rPr>
          <w:sz w:val="24"/>
          <w:szCs w:val="24"/>
        </w:rPr>
      </w:pP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32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43200" w:rsidRPr="00243200" w:rsidRDefault="00243200" w:rsidP="0024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5243" w:rsidRPr="00243200" w:rsidRDefault="00695243" w:rsidP="00E8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2C9" w:rsidRPr="00B832C9" w:rsidRDefault="00B832C9" w:rsidP="00B832C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832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7B501" wp14:editId="7CB7976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x1PgIAAEU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gr+MdT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B832C9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27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.03.2020 г.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единадесета  точка от дневния ред</w:t>
      </w: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№77/27.03.2020г.</w:t>
      </w: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Pr="00B832C9">
        <w:rPr>
          <w:rFonts w:ascii="Times New Roman" w:hAnsi="Times New Roman" w:cs="Times New Roman"/>
          <w:sz w:val="24"/>
          <w:szCs w:val="24"/>
        </w:rPr>
        <w:t xml:space="preserve"> </w:t>
      </w:r>
      <w:r w:rsidRPr="00B832C9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B832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доклади за оценки на имоти частна общинска собственост представляващи: поземлен имот 49415.393.1 и поземлен имот 49415.393.2 в землището на с.Муселиево, община Никопол, с НТП: „За друг вид производствен, складов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обект“.</w:t>
      </w: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8 от ЗМСМА във връзка с чл. 35, ал. 1 и ал.6 и чл.41, ал.2 от ЗОС, чл.55, ал.1, т.1 и чл.58, ал.1 от Наредба № 6 за реда за придобиване, управление и разпореждане с общинско имущество на Община Никопол, във връзка с Решение № 58/27.02.2020 г., Общински Съвет – Никопол, </w:t>
      </w: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B832C9" w:rsidRPr="00B832C9" w:rsidRDefault="00B832C9" w:rsidP="00B8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– Никопол приема доклада за експертна оценка за поземлен имот 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49415.393.1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Плевен, община Никопол, с. Муселиево, м.“Зад селото“, вид територия „Земеделска“, категория 6, НТП „За друг вид производствен, складов обект“, площ 1427 кв.м., частна общинска собственост в размер на 940,00 /деветстотин и четиридесет/ лева без ДДС и  за поземлен имот </w:t>
      </w:r>
      <w:r w:rsidRPr="00B832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49415.393.2,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Плевен, община Никопол, с. Муселиево, м. „Зад селото“, вид територия „Земеделска“, категория 6, НТП „За друг вид производствен, складов обект“, площ 4772 кв.м., частна общинска собственост в размер на 3 150,00 /три хиляди сто и петдесет/ лева без ДДС.</w:t>
      </w: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B83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Продажбата на общинският имот описан в точка едно на настоящото решение да се извърши чрез публично оповестен конкурс</w:t>
      </w:r>
      <w:r w:rsidRPr="00B832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начална конкурсна цена в размер на 940,00 /деветстотин и четиридесет/ лева без ДДС за</w:t>
      </w:r>
      <w:r w:rsidRPr="00B83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49415.393.1, област Плевен, община Никопол, с. Муселиево, м.“Зад селото“, вид територия „Земеделска“, категория 6, НТП „За друг вид производствен, складов обект“, площ 1427 кв.м. и 3 150,00 /три хиляди сто и петдесет/ лева без ДДС</w:t>
      </w:r>
      <w:r w:rsidRPr="00B83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поземлен имот 49415.393.2, област Плевен, община Никопол, с. Муселиево, м. „Зад селото“, вид територия „Земеделска“, категория 6, НТП „За друг вид производствен, складов обект“, площ 4772 кв.м..</w:t>
      </w: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3.</w:t>
      </w:r>
      <w:r w:rsidRPr="00B83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оправомощава Кмета на Община Никопол в съответствие с чл. 35, ал. </w:t>
      </w:r>
      <w:r w:rsidRPr="00B832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B83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ЗОС да издаде заповед и сключи договор за покупко-продажба за имотите описани в точка едно на настоящото решение.</w:t>
      </w:r>
    </w:p>
    <w:p w:rsidR="00B832C9" w:rsidRPr="00B832C9" w:rsidRDefault="00B832C9" w:rsidP="00B8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2C9" w:rsidRPr="00B832C9" w:rsidRDefault="00B832C9" w:rsidP="00B832C9">
      <w:pPr>
        <w:spacing w:after="0" w:line="240" w:lineRule="auto"/>
        <w:rPr>
          <w:sz w:val="24"/>
          <w:szCs w:val="24"/>
        </w:rPr>
      </w:pPr>
    </w:p>
    <w:p w:rsidR="00B832C9" w:rsidRPr="00B832C9" w:rsidRDefault="00B832C9" w:rsidP="00B8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B832C9" w:rsidRPr="00B832C9" w:rsidRDefault="00B832C9" w:rsidP="00B8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B832C9" w:rsidRPr="00B832C9" w:rsidRDefault="00B832C9" w:rsidP="00B8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32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B832C9" w:rsidRPr="00B832C9" w:rsidRDefault="00B832C9" w:rsidP="00B832C9">
      <w:pPr>
        <w:rPr>
          <w:sz w:val="24"/>
          <w:szCs w:val="24"/>
        </w:rPr>
      </w:pPr>
    </w:p>
    <w:p w:rsidR="00123B05" w:rsidRPr="00B832C9" w:rsidRDefault="00123B05" w:rsidP="00E85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D8" w:rsidRPr="00B832C9" w:rsidRDefault="00B832C9" w:rsidP="00B832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2C9">
        <w:rPr>
          <w:rFonts w:ascii="Times New Roman" w:hAnsi="Times New Roman" w:cs="Times New Roman"/>
          <w:b/>
          <w:sz w:val="32"/>
          <w:szCs w:val="32"/>
        </w:rPr>
        <w:t>К Р А Й !</w:t>
      </w:r>
      <w:bookmarkStart w:id="6" w:name="_GoBack"/>
      <w:bookmarkEnd w:id="6"/>
    </w:p>
    <w:p w:rsidR="00F61555" w:rsidRPr="00B832C9" w:rsidRDefault="00F61555" w:rsidP="00E85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1555" w:rsidRPr="00B832C9" w:rsidSect="00695243">
      <w:pgSz w:w="11906" w:h="16838"/>
      <w:pgMar w:top="851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89" w:rsidRDefault="00B51789" w:rsidP="0077497D">
      <w:pPr>
        <w:spacing w:after="0" w:line="240" w:lineRule="auto"/>
      </w:pPr>
      <w:r>
        <w:separator/>
      </w:r>
    </w:p>
  </w:endnote>
  <w:endnote w:type="continuationSeparator" w:id="0">
    <w:p w:rsidR="00B51789" w:rsidRDefault="00B51789" w:rsidP="0077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1960"/>
      <w:docPartObj>
        <w:docPartGallery w:val="Page Numbers (Bottom of Page)"/>
        <w:docPartUnique/>
      </w:docPartObj>
    </w:sdtPr>
    <w:sdtContent>
      <w:p w:rsidR="00153A5C" w:rsidRDefault="00153A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89">
          <w:rPr>
            <w:noProof/>
          </w:rPr>
          <w:t>1</w:t>
        </w:r>
        <w:r>
          <w:fldChar w:fldCharType="end"/>
        </w:r>
      </w:p>
    </w:sdtContent>
  </w:sdt>
  <w:p w:rsidR="00153A5C" w:rsidRDefault="00153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89" w:rsidRDefault="00B51789" w:rsidP="0077497D">
      <w:pPr>
        <w:spacing w:after="0" w:line="240" w:lineRule="auto"/>
      </w:pPr>
      <w:r>
        <w:separator/>
      </w:r>
    </w:p>
  </w:footnote>
  <w:footnote w:type="continuationSeparator" w:id="0">
    <w:p w:rsidR="00B51789" w:rsidRDefault="00B51789" w:rsidP="0077497D">
      <w:pPr>
        <w:spacing w:after="0" w:line="240" w:lineRule="auto"/>
      </w:pPr>
      <w:r>
        <w:continuationSeparator/>
      </w:r>
    </w:p>
  </w:footnote>
  <w:footnote w:id="1">
    <w:p w:rsidR="00153A5C" w:rsidRDefault="00153A5C" w:rsidP="0015367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  <w:footnote w:id="2">
    <w:p w:rsidR="00153A5C" w:rsidRDefault="00153A5C" w:rsidP="0015367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Пореден номер на индикатора в общия списък от преки индикатори за наблюдение и оценка на ОПР 2014-2020</w:t>
      </w:r>
    </w:p>
  </w:footnote>
  <w:footnote w:id="3">
    <w:p w:rsidR="00153A5C" w:rsidRDefault="00153A5C" w:rsidP="0015367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  <w:footnote w:id="4">
    <w:p w:rsidR="00153A5C" w:rsidRDefault="00153A5C" w:rsidP="0015367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</w:t>
      </w:r>
      <w:r>
        <w:rPr>
          <w:rFonts w:ascii="Garamond" w:hAnsi="Garamond"/>
          <w:szCs w:val="24"/>
        </w:rPr>
        <w:t>46.</w:t>
      </w:r>
      <w:r w:rsidRPr="00C428CF">
        <w:rPr>
          <w:rFonts w:ascii="Garamond" w:hAnsi="Garamond"/>
          <w:szCs w:val="24"/>
        </w:rPr>
        <w:t>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  <w:footnote w:id="5">
    <w:p w:rsidR="00153A5C" w:rsidRDefault="00153A5C" w:rsidP="0015367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428CF">
        <w:rPr>
          <w:rFonts w:ascii="Garamond" w:hAnsi="Garamond"/>
          <w:szCs w:val="24"/>
        </w:rPr>
        <w:t>Пор</w:t>
      </w:r>
      <w:r>
        <w:rPr>
          <w:rFonts w:ascii="Garamond" w:hAnsi="Garamond"/>
          <w:szCs w:val="24"/>
        </w:rPr>
        <w:t xml:space="preserve">еден номер на индикатора в общите списъци </w:t>
      </w:r>
      <w:r w:rsidRPr="00C428CF">
        <w:rPr>
          <w:rFonts w:ascii="Garamond" w:hAnsi="Garamond"/>
          <w:szCs w:val="24"/>
        </w:rPr>
        <w:t xml:space="preserve">от преки </w:t>
      </w:r>
      <w:r>
        <w:rPr>
          <w:rFonts w:ascii="Garamond" w:hAnsi="Garamond"/>
          <w:szCs w:val="24"/>
        </w:rPr>
        <w:t xml:space="preserve">и косвени </w:t>
      </w:r>
      <w:r w:rsidRPr="00C428CF">
        <w:rPr>
          <w:rFonts w:ascii="Garamond" w:hAnsi="Garamond"/>
          <w:szCs w:val="24"/>
        </w:rPr>
        <w:t>индикатори за наблюдение и оценка на ОПР 2014-2020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AC"/>
      </v:shape>
    </w:pict>
  </w:numPicBullet>
  <w:abstractNum w:abstractNumId="0">
    <w:nsid w:val="03AA526E"/>
    <w:multiLevelType w:val="hybridMultilevel"/>
    <w:tmpl w:val="28442074"/>
    <w:lvl w:ilvl="0" w:tplc="42C4A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7BC"/>
    <w:multiLevelType w:val="hybridMultilevel"/>
    <w:tmpl w:val="D7AC86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B20EB"/>
    <w:multiLevelType w:val="hybridMultilevel"/>
    <w:tmpl w:val="2D06C7B6"/>
    <w:lvl w:ilvl="0" w:tplc="E3641E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0D61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548B5"/>
    <w:multiLevelType w:val="hybridMultilevel"/>
    <w:tmpl w:val="9884A604"/>
    <w:lvl w:ilvl="0" w:tplc="47C02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A1D"/>
    <w:multiLevelType w:val="hybridMultilevel"/>
    <w:tmpl w:val="E3189BB8"/>
    <w:lvl w:ilvl="0" w:tplc="A79EC83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70710"/>
    <w:multiLevelType w:val="hybridMultilevel"/>
    <w:tmpl w:val="16E22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5675"/>
    <w:multiLevelType w:val="hybridMultilevel"/>
    <w:tmpl w:val="1D64C8A6"/>
    <w:lvl w:ilvl="0" w:tplc="A79EC83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C7A25"/>
    <w:multiLevelType w:val="hybridMultilevel"/>
    <w:tmpl w:val="D04C7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4587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664F"/>
    <w:multiLevelType w:val="hybridMultilevel"/>
    <w:tmpl w:val="FFF28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13E79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2D5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8FF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40718"/>
    <w:multiLevelType w:val="hybridMultilevel"/>
    <w:tmpl w:val="B9D0F9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E2975"/>
    <w:multiLevelType w:val="hybridMultilevel"/>
    <w:tmpl w:val="751877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A6F7D"/>
    <w:multiLevelType w:val="hybridMultilevel"/>
    <w:tmpl w:val="9D1820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C7C22"/>
    <w:multiLevelType w:val="hybridMultilevel"/>
    <w:tmpl w:val="AE6E689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372BF"/>
    <w:multiLevelType w:val="hybridMultilevel"/>
    <w:tmpl w:val="A0D22CBC"/>
    <w:lvl w:ilvl="0" w:tplc="7946D56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0AF5"/>
    <w:multiLevelType w:val="hybridMultilevel"/>
    <w:tmpl w:val="0178CC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56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87" w:hanging="360"/>
      </w:pPr>
    </w:lvl>
    <w:lvl w:ilvl="2" w:tplc="0402001B" w:tentative="1">
      <w:start w:val="1"/>
      <w:numFmt w:val="lowerRoman"/>
      <w:lvlText w:val="%3."/>
      <w:lvlJc w:val="right"/>
      <w:pPr>
        <w:ind w:left="3007" w:hanging="180"/>
      </w:pPr>
    </w:lvl>
    <w:lvl w:ilvl="3" w:tplc="0402000F" w:tentative="1">
      <w:start w:val="1"/>
      <w:numFmt w:val="decimal"/>
      <w:lvlText w:val="%4."/>
      <w:lvlJc w:val="left"/>
      <w:pPr>
        <w:ind w:left="3727" w:hanging="360"/>
      </w:pPr>
    </w:lvl>
    <w:lvl w:ilvl="4" w:tplc="04020019" w:tentative="1">
      <w:start w:val="1"/>
      <w:numFmt w:val="lowerLetter"/>
      <w:lvlText w:val="%5."/>
      <w:lvlJc w:val="left"/>
      <w:pPr>
        <w:ind w:left="4447" w:hanging="360"/>
      </w:pPr>
    </w:lvl>
    <w:lvl w:ilvl="5" w:tplc="0402001B" w:tentative="1">
      <w:start w:val="1"/>
      <w:numFmt w:val="lowerRoman"/>
      <w:lvlText w:val="%6."/>
      <w:lvlJc w:val="right"/>
      <w:pPr>
        <w:ind w:left="5167" w:hanging="180"/>
      </w:pPr>
    </w:lvl>
    <w:lvl w:ilvl="6" w:tplc="0402000F" w:tentative="1">
      <w:start w:val="1"/>
      <w:numFmt w:val="decimal"/>
      <w:lvlText w:val="%7."/>
      <w:lvlJc w:val="left"/>
      <w:pPr>
        <w:ind w:left="5887" w:hanging="360"/>
      </w:pPr>
    </w:lvl>
    <w:lvl w:ilvl="7" w:tplc="04020019" w:tentative="1">
      <w:start w:val="1"/>
      <w:numFmt w:val="lowerLetter"/>
      <w:lvlText w:val="%8."/>
      <w:lvlJc w:val="left"/>
      <w:pPr>
        <w:ind w:left="6607" w:hanging="360"/>
      </w:pPr>
    </w:lvl>
    <w:lvl w:ilvl="8" w:tplc="0402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0">
    <w:nsid w:val="3BA56FAB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86FE3"/>
    <w:multiLevelType w:val="hybridMultilevel"/>
    <w:tmpl w:val="AE940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711E"/>
    <w:multiLevelType w:val="hybridMultilevel"/>
    <w:tmpl w:val="3E7A34C4"/>
    <w:lvl w:ilvl="0" w:tplc="E3641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54D2"/>
    <w:multiLevelType w:val="hybridMultilevel"/>
    <w:tmpl w:val="D04C7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DD9"/>
    <w:multiLevelType w:val="hybridMultilevel"/>
    <w:tmpl w:val="EC84457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A5EFA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23B"/>
    <w:multiLevelType w:val="hybridMultilevel"/>
    <w:tmpl w:val="9A7E5B04"/>
    <w:lvl w:ilvl="0" w:tplc="0402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BA459A0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94EC5"/>
    <w:multiLevelType w:val="hybridMultilevel"/>
    <w:tmpl w:val="6BDEC330"/>
    <w:lvl w:ilvl="0" w:tplc="09C2D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C0879"/>
    <w:multiLevelType w:val="hybridMultilevel"/>
    <w:tmpl w:val="8E12B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37A55"/>
    <w:multiLevelType w:val="hybridMultilevel"/>
    <w:tmpl w:val="0FF6BF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745"/>
    <w:multiLevelType w:val="hybridMultilevel"/>
    <w:tmpl w:val="1B8AE694"/>
    <w:lvl w:ilvl="0" w:tplc="3AB8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505C8"/>
    <w:multiLevelType w:val="hybridMultilevel"/>
    <w:tmpl w:val="76FCFFFA"/>
    <w:lvl w:ilvl="0" w:tplc="9EEEAFD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42210"/>
    <w:multiLevelType w:val="hybridMultilevel"/>
    <w:tmpl w:val="3330380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2334"/>
    <w:multiLevelType w:val="hybridMultilevel"/>
    <w:tmpl w:val="5DB2ED3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752AE"/>
    <w:multiLevelType w:val="multilevel"/>
    <w:tmpl w:val="4EBC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CE06E3"/>
    <w:multiLevelType w:val="hybridMultilevel"/>
    <w:tmpl w:val="E7CE78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D73A5"/>
    <w:multiLevelType w:val="hybridMultilevel"/>
    <w:tmpl w:val="252A4828"/>
    <w:lvl w:ilvl="0" w:tplc="A5CE4FA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52E34"/>
    <w:multiLevelType w:val="hybridMultilevel"/>
    <w:tmpl w:val="FFF28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20029"/>
    <w:multiLevelType w:val="hybridMultilevel"/>
    <w:tmpl w:val="B928B8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B1699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B78AF"/>
    <w:multiLevelType w:val="multilevel"/>
    <w:tmpl w:val="AE940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57AB"/>
    <w:multiLevelType w:val="hybridMultilevel"/>
    <w:tmpl w:val="EC669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52077"/>
    <w:multiLevelType w:val="hybridMultilevel"/>
    <w:tmpl w:val="43126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B1BCD"/>
    <w:multiLevelType w:val="multilevel"/>
    <w:tmpl w:val="7AB613FA"/>
    <w:lvl w:ilvl="0">
      <w:start w:val="3"/>
      <w:numFmt w:val="upperRoman"/>
      <w:lvlText w:val="%1."/>
      <w:lvlJc w:val="left"/>
      <w:rPr>
        <w:rFonts w:ascii="Verdana" w:eastAsia="Times New Roman" w:hAnsi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Verdana" w:eastAsia="Times New Roman" w:hAnsi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upperRoman"/>
      <w:lvlText w:val="%3."/>
      <w:lvlJc w:val="left"/>
      <w:rPr>
        <w:rFonts w:ascii="Garamond" w:eastAsia="Times New Roman" w:hAnsi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9033E1"/>
    <w:multiLevelType w:val="hybridMultilevel"/>
    <w:tmpl w:val="9E22E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43"/>
  </w:num>
  <w:num w:numId="4">
    <w:abstractNumId w:val="27"/>
  </w:num>
  <w:num w:numId="5">
    <w:abstractNumId w:val="32"/>
  </w:num>
  <w:num w:numId="6">
    <w:abstractNumId w:val="24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9"/>
  </w:num>
  <w:num w:numId="11">
    <w:abstractNumId w:val="18"/>
  </w:num>
  <w:num w:numId="12">
    <w:abstractNumId w:val="31"/>
  </w:num>
  <w:num w:numId="13">
    <w:abstractNumId w:val="6"/>
  </w:num>
  <w:num w:numId="14">
    <w:abstractNumId w:val="4"/>
  </w:num>
  <w:num w:numId="15">
    <w:abstractNumId w:val="21"/>
  </w:num>
  <w:num w:numId="16">
    <w:abstractNumId w:val="46"/>
  </w:num>
  <w:num w:numId="17">
    <w:abstractNumId w:val="5"/>
  </w:num>
  <w:num w:numId="18">
    <w:abstractNumId w:val="17"/>
  </w:num>
  <w:num w:numId="19">
    <w:abstractNumId w:val="44"/>
  </w:num>
  <w:num w:numId="20">
    <w:abstractNumId w:val="22"/>
  </w:num>
  <w:num w:numId="21">
    <w:abstractNumId w:val="2"/>
  </w:num>
  <w:num w:numId="22">
    <w:abstractNumId w:val="30"/>
  </w:num>
  <w:num w:numId="23">
    <w:abstractNumId w:val="16"/>
  </w:num>
  <w:num w:numId="24">
    <w:abstractNumId w:val="34"/>
  </w:num>
  <w:num w:numId="25">
    <w:abstractNumId w:val="35"/>
  </w:num>
  <w:num w:numId="26">
    <w:abstractNumId w:val="15"/>
  </w:num>
  <w:num w:numId="27">
    <w:abstractNumId w:val="25"/>
  </w:num>
  <w:num w:numId="28">
    <w:abstractNumId w:val="3"/>
  </w:num>
  <w:num w:numId="29">
    <w:abstractNumId w:val="23"/>
  </w:num>
  <w:num w:numId="30">
    <w:abstractNumId w:val="7"/>
  </w:num>
  <w:num w:numId="31">
    <w:abstractNumId w:val="37"/>
  </w:num>
  <w:num w:numId="32">
    <w:abstractNumId w:val="0"/>
  </w:num>
  <w:num w:numId="33">
    <w:abstractNumId w:val="10"/>
  </w:num>
  <w:num w:numId="34">
    <w:abstractNumId w:val="12"/>
  </w:num>
  <w:num w:numId="35">
    <w:abstractNumId w:val="41"/>
  </w:num>
  <w:num w:numId="36">
    <w:abstractNumId w:val="28"/>
  </w:num>
  <w:num w:numId="37">
    <w:abstractNumId w:val="8"/>
  </w:num>
  <w:num w:numId="38">
    <w:abstractNumId w:val="42"/>
  </w:num>
  <w:num w:numId="39">
    <w:abstractNumId w:val="11"/>
  </w:num>
  <w:num w:numId="40">
    <w:abstractNumId w:val="20"/>
  </w:num>
  <w:num w:numId="41">
    <w:abstractNumId w:val="26"/>
  </w:num>
  <w:num w:numId="42">
    <w:abstractNumId w:val="33"/>
  </w:num>
  <w:num w:numId="43">
    <w:abstractNumId w:val="29"/>
  </w:num>
  <w:num w:numId="44">
    <w:abstractNumId w:val="36"/>
  </w:num>
  <w:num w:numId="45">
    <w:abstractNumId w:val="1"/>
  </w:num>
  <w:num w:numId="46">
    <w:abstractNumId w:val="13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D"/>
    <w:rsid w:val="0003277B"/>
    <w:rsid w:val="000428A7"/>
    <w:rsid w:val="000A4BD8"/>
    <w:rsid w:val="000E0EB5"/>
    <w:rsid w:val="00123B05"/>
    <w:rsid w:val="00153671"/>
    <w:rsid w:val="00153A5C"/>
    <w:rsid w:val="00194709"/>
    <w:rsid w:val="001B1546"/>
    <w:rsid w:val="00203DAB"/>
    <w:rsid w:val="00243200"/>
    <w:rsid w:val="002954F7"/>
    <w:rsid w:val="003826E4"/>
    <w:rsid w:val="00496C88"/>
    <w:rsid w:val="00573276"/>
    <w:rsid w:val="005C1895"/>
    <w:rsid w:val="0064413A"/>
    <w:rsid w:val="00695243"/>
    <w:rsid w:val="00696E7A"/>
    <w:rsid w:val="0077497D"/>
    <w:rsid w:val="007822F7"/>
    <w:rsid w:val="00850A54"/>
    <w:rsid w:val="008D3EF5"/>
    <w:rsid w:val="00A0682F"/>
    <w:rsid w:val="00A32730"/>
    <w:rsid w:val="00A808B2"/>
    <w:rsid w:val="00B51789"/>
    <w:rsid w:val="00B832C9"/>
    <w:rsid w:val="00C20531"/>
    <w:rsid w:val="00DD0E10"/>
    <w:rsid w:val="00DD5236"/>
    <w:rsid w:val="00DF0AD0"/>
    <w:rsid w:val="00E31CBE"/>
    <w:rsid w:val="00E60790"/>
    <w:rsid w:val="00E858B5"/>
    <w:rsid w:val="00F33AB1"/>
    <w:rsid w:val="00F61555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7D"/>
  </w:style>
  <w:style w:type="paragraph" w:styleId="1">
    <w:name w:val="heading 1"/>
    <w:basedOn w:val="a"/>
    <w:next w:val="a"/>
    <w:link w:val="10"/>
    <w:qFormat/>
    <w:rsid w:val="001536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1536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7">
    <w:name w:val="heading 7"/>
    <w:basedOn w:val="a"/>
    <w:next w:val="a"/>
    <w:link w:val="70"/>
    <w:qFormat/>
    <w:rsid w:val="001536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7497D"/>
  </w:style>
  <w:style w:type="paragraph" w:styleId="a5">
    <w:name w:val="footer"/>
    <w:basedOn w:val="a"/>
    <w:link w:val="a6"/>
    <w:uiPriority w:val="99"/>
    <w:unhideWhenUsed/>
    <w:rsid w:val="0077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97D"/>
  </w:style>
  <w:style w:type="paragraph" w:styleId="a7">
    <w:name w:val="List Paragraph"/>
    <w:basedOn w:val="a"/>
    <w:uiPriority w:val="34"/>
    <w:qFormat/>
    <w:rsid w:val="00C20531"/>
    <w:pPr>
      <w:ind w:left="720"/>
      <w:contextualSpacing/>
    </w:pPr>
  </w:style>
  <w:style w:type="paragraph" w:styleId="a8">
    <w:name w:val="No Spacing"/>
    <w:uiPriority w:val="1"/>
    <w:qFormat/>
    <w:rsid w:val="00E31CBE"/>
    <w:pPr>
      <w:spacing w:after="0" w:line="240" w:lineRule="auto"/>
    </w:pPr>
  </w:style>
  <w:style w:type="character" w:customStyle="1" w:styleId="2">
    <w:name w:val="Заглавие #2"/>
    <w:uiPriority w:val="99"/>
    <w:rsid w:val="00FB1AB5"/>
    <w:rPr>
      <w:rFonts w:ascii="Garamond" w:eastAsia="Times New Roman" w:hAnsi="Garamond" w:cs="Garamond"/>
      <w:spacing w:val="0"/>
      <w:sz w:val="30"/>
      <w:szCs w:val="30"/>
    </w:rPr>
  </w:style>
  <w:style w:type="character" w:customStyle="1" w:styleId="3">
    <w:name w:val="Основен текст (3)"/>
    <w:uiPriority w:val="99"/>
    <w:rsid w:val="00FB1AB5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22">
    <w:name w:val="Заглавие #2 (2)"/>
    <w:uiPriority w:val="99"/>
    <w:rsid w:val="00FB1AB5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30">
    <w:name w:val="Основен текст (3) + Удебелен"/>
    <w:uiPriority w:val="99"/>
    <w:rsid w:val="00FB1AB5"/>
    <w:rPr>
      <w:rFonts w:ascii="Garamond" w:eastAsia="Times New Roman" w:hAnsi="Garamond" w:cs="Garamond"/>
      <w:b/>
      <w:bCs/>
      <w:spacing w:val="0"/>
      <w:sz w:val="35"/>
      <w:szCs w:val="35"/>
    </w:rPr>
  </w:style>
  <w:style w:type="character" w:customStyle="1" w:styleId="10">
    <w:name w:val="Заглавие 1 Знак"/>
    <w:basedOn w:val="a0"/>
    <w:link w:val="1"/>
    <w:rsid w:val="00153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лавие 4 Знак"/>
    <w:basedOn w:val="a0"/>
    <w:link w:val="4"/>
    <w:rsid w:val="00153671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70">
    <w:name w:val="Заглавие 7 Знак"/>
    <w:basedOn w:val="a0"/>
    <w:link w:val="7"/>
    <w:rsid w:val="00153671"/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ен текст + 11.5 pt"/>
    <w:uiPriority w:val="99"/>
    <w:rsid w:val="00153671"/>
    <w:rPr>
      <w:rFonts w:ascii="Garamond" w:eastAsia="Times New Roman" w:hAnsi="Garamond" w:cs="Garamond"/>
      <w:spacing w:val="0"/>
      <w:sz w:val="23"/>
      <w:szCs w:val="23"/>
    </w:rPr>
  </w:style>
  <w:style w:type="paragraph" w:customStyle="1" w:styleId="CharCharCharCharChar">
    <w:name w:val="Char Char Char Char Char"/>
    <w:basedOn w:val="a"/>
    <w:link w:val="CharCharCharCharCharChar1"/>
    <w:uiPriority w:val="99"/>
    <w:rsid w:val="00153671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CharCharCharChar1">
    <w:name w:val="Char Char Char Char Char Char1"/>
    <w:link w:val="CharCharCharCharChar"/>
    <w:uiPriority w:val="99"/>
    <w:locked/>
    <w:rsid w:val="00153671"/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153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rsid w:val="00153671"/>
  </w:style>
  <w:style w:type="numbering" w:customStyle="1" w:styleId="11">
    <w:name w:val="Без списък1"/>
    <w:next w:val="a2"/>
    <w:uiPriority w:val="99"/>
    <w:semiHidden/>
    <w:unhideWhenUsed/>
    <w:rsid w:val="00153671"/>
  </w:style>
  <w:style w:type="character" w:styleId="a9">
    <w:name w:val="page number"/>
    <w:basedOn w:val="a0"/>
    <w:rsid w:val="00153671"/>
  </w:style>
  <w:style w:type="character" w:styleId="aa">
    <w:name w:val="Strong"/>
    <w:qFormat/>
    <w:rsid w:val="00153671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153671"/>
  </w:style>
  <w:style w:type="numbering" w:customStyle="1" w:styleId="111">
    <w:name w:val="Без списък111"/>
    <w:next w:val="a2"/>
    <w:semiHidden/>
    <w:rsid w:val="00153671"/>
  </w:style>
  <w:style w:type="character" w:styleId="ab">
    <w:name w:val="annotation reference"/>
    <w:basedOn w:val="a0"/>
    <w:semiHidden/>
    <w:rsid w:val="00153671"/>
    <w:rPr>
      <w:sz w:val="16"/>
      <w:szCs w:val="16"/>
    </w:rPr>
  </w:style>
  <w:style w:type="paragraph" w:styleId="ac">
    <w:name w:val="annotation text"/>
    <w:basedOn w:val="a"/>
    <w:link w:val="ad"/>
    <w:semiHidden/>
    <w:rsid w:val="0015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Текст на коментар Знак"/>
    <w:basedOn w:val="a0"/>
    <w:link w:val="ac"/>
    <w:semiHidden/>
    <w:rsid w:val="0015367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semiHidden/>
    <w:rsid w:val="001536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15367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2">
    <w:name w:val="Списък на абзаци1"/>
    <w:basedOn w:val="a"/>
    <w:link w:val="ListParagraphChar"/>
    <w:qFormat/>
    <w:rsid w:val="00153671"/>
    <w:pPr>
      <w:ind w:left="720"/>
    </w:pPr>
    <w:rPr>
      <w:rFonts w:ascii="Calibri" w:eastAsia="Calibri" w:hAnsi="Calibri" w:cs="Calibri"/>
    </w:rPr>
  </w:style>
  <w:style w:type="paragraph" w:styleId="af0">
    <w:name w:val="footnote text"/>
    <w:basedOn w:val="a"/>
    <w:link w:val="af1"/>
    <w:unhideWhenUsed/>
    <w:rsid w:val="001536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од линия Знак"/>
    <w:basedOn w:val="a0"/>
    <w:link w:val="af0"/>
    <w:rsid w:val="001536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153671"/>
    <w:rPr>
      <w:vertAlign w:val="superscript"/>
    </w:rPr>
  </w:style>
  <w:style w:type="character" w:customStyle="1" w:styleId="ListParagraphChar">
    <w:name w:val="List Paragraph Char"/>
    <w:link w:val="12"/>
    <w:rsid w:val="00153671"/>
    <w:rPr>
      <w:rFonts w:ascii="Calibri" w:eastAsia="Calibri" w:hAnsi="Calibri" w:cs="Calibri"/>
    </w:rPr>
  </w:style>
  <w:style w:type="table" w:styleId="af3">
    <w:name w:val="Table Grid"/>
    <w:basedOn w:val="a1"/>
    <w:rsid w:val="0015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671"/>
    <w:rPr>
      <w:rFonts w:cs="Times New Roman"/>
    </w:rPr>
  </w:style>
  <w:style w:type="character" w:customStyle="1" w:styleId="no-wrap-white-space">
    <w:name w:val="no-wrap-white-space"/>
    <w:basedOn w:val="a0"/>
    <w:rsid w:val="00153671"/>
  </w:style>
  <w:style w:type="paragraph" w:styleId="af4">
    <w:name w:val="annotation subject"/>
    <w:basedOn w:val="ac"/>
    <w:next w:val="ac"/>
    <w:link w:val="af5"/>
    <w:semiHidden/>
    <w:rsid w:val="00153671"/>
    <w:rPr>
      <w:b/>
      <w:bCs/>
    </w:rPr>
  </w:style>
  <w:style w:type="character" w:customStyle="1" w:styleId="af5">
    <w:name w:val="Предмет на коментар Знак"/>
    <w:basedOn w:val="ad"/>
    <w:link w:val="af4"/>
    <w:semiHidden/>
    <w:rsid w:val="0015367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6">
    <w:name w:val="Normal (Web)"/>
    <w:basedOn w:val="a"/>
    <w:semiHidden/>
    <w:rsid w:val="001536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">
    <w:name w:val="Знак Знак Char Char"/>
    <w:basedOn w:val="a"/>
    <w:rsid w:val="001536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rsid w:val="0015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15367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15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7D"/>
  </w:style>
  <w:style w:type="paragraph" w:styleId="1">
    <w:name w:val="heading 1"/>
    <w:basedOn w:val="a"/>
    <w:next w:val="a"/>
    <w:link w:val="10"/>
    <w:qFormat/>
    <w:rsid w:val="001536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1536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7">
    <w:name w:val="heading 7"/>
    <w:basedOn w:val="a"/>
    <w:next w:val="a"/>
    <w:link w:val="70"/>
    <w:qFormat/>
    <w:rsid w:val="001536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7497D"/>
  </w:style>
  <w:style w:type="paragraph" w:styleId="a5">
    <w:name w:val="footer"/>
    <w:basedOn w:val="a"/>
    <w:link w:val="a6"/>
    <w:uiPriority w:val="99"/>
    <w:unhideWhenUsed/>
    <w:rsid w:val="0077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497D"/>
  </w:style>
  <w:style w:type="paragraph" w:styleId="a7">
    <w:name w:val="List Paragraph"/>
    <w:basedOn w:val="a"/>
    <w:uiPriority w:val="34"/>
    <w:qFormat/>
    <w:rsid w:val="00C20531"/>
    <w:pPr>
      <w:ind w:left="720"/>
      <w:contextualSpacing/>
    </w:pPr>
  </w:style>
  <w:style w:type="paragraph" w:styleId="a8">
    <w:name w:val="No Spacing"/>
    <w:uiPriority w:val="1"/>
    <w:qFormat/>
    <w:rsid w:val="00E31CBE"/>
    <w:pPr>
      <w:spacing w:after="0" w:line="240" w:lineRule="auto"/>
    </w:pPr>
  </w:style>
  <w:style w:type="character" w:customStyle="1" w:styleId="2">
    <w:name w:val="Заглавие #2"/>
    <w:uiPriority w:val="99"/>
    <w:rsid w:val="00FB1AB5"/>
    <w:rPr>
      <w:rFonts w:ascii="Garamond" w:eastAsia="Times New Roman" w:hAnsi="Garamond" w:cs="Garamond"/>
      <w:spacing w:val="0"/>
      <w:sz w:val="30"/>
      <w:szCs w:val="30"/>
    </w:rPr>
  </w:style>
  <w:style w:type="character" w:customStyle="1" w:styleId="3">
    <w:name w:val="Основен текст (3)"/>
    <w:uiPriority w:val="99"/>
    <w:rsid w:val="00FB1AB5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22">
    <w:name w:val="Заглавие #2 (2)"/>
    <w:uiPriority w:val="99"/>
    <w:rsid w:val="00FB1AB5"/>
    <w:rPr>
      <w:rFonts w:ascii="Garamond" w:eastAsia="Times New Roman" w:hAnsi="Garamond" w:cs="Garamond"/>
      <w:spacing w:val="0"/>
      <w:sz w:val="35"/>
      <w:szCs w:val="35"/>
    </w:rPr>
  </w:style>
  <w:style w:type="character" w:customStyle="1" w:styleId="30">
    <w:name w:val="Основен текст (3) + Удебелен"/>
    <w:uiPriority w:val="99"/>
    <w:rsid w:val="00FB1AB5"/>
    <w:rPr>
      <w:rFonts w:ascii="Garamond" w:eastAsia="Times New Roman" w:hAnsi="Garamond" w:cs="Garamond"/>
      <w:b/>
      <w:bCs/>
      <w:spacing w:val="0"/>
      <w:sz w:val="35"/>
      <w:szCs w:val="35"/>
    </w:rPr>
  </w:style>
  <w:style w:type="character" w:customStyle="1" w:styleId="10">
    <w:name w:val="Заглавие 1 Знак"/>
    <w:basedOn w:val="a0"/>
    <w:link w:val="1"/>
    <w:rsid w:val="00153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лавие 4 Знак"/>
    <w:basedOn w:val="a0"/>
    <w:link w:val="4"/>
    <w:rsid w:val="00153671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70">
    <w:name w:val="Заглавие 7 Знак"/>
    <w:basedOn w:val="a0"/>
    <w:link w:val="7"/>
    <w:rsid w:val="00153671"/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ен текст + 11.5 pt"/>
    <w:uiPriority w:val="99"/>
    <w:rsid w:val="00153671"/>
    <w:rPr>
      <w:rFonts w:ascii="Garamond" w:eastAsia="Times New Roman" w:hAnsi="Garamond" w:cs="Garamond"/>
      <w:spacing w:val="0"/>
      <w:sz w:val="23"/>
      <w:szCs w:val="23"/>
    </w:rPr>
  </w:style>
  <w:style w:type="paragraph" w:customStyle="1" w:styleId="CharCharCharCharChar">
    <w:name w:val="Char Char Char Char Char"/>
    <w:basedOn w:val="a"/>
    <w:link w:val="CharCharCharCharCharChar1"/>
    <w:uiPriority w:val="99"/>
    <w:rsid w:val="00153671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CharCharCharChar1">
    <w:name w:val="Char Char Char Char Char Char1"/>
    <w:link w:val="CharCharCharCharChar"/>
    <w:uiPriority w:val="99"/>
    <w:locked/>
    <w:rsid w:val="00153671"/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153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rsid w:val="00153671"/>
  </w:style>
  <w:style w:type="numbering" w:customStyle="1" w:styleId="11">
    <w:name w:val="Без списък1"/>
    <w:next w:val="a2"/>
    <w:uiPriority w:val="99"/>
    <w:semiHidden/>
    <w:unhideWhenUsed/>
    <w:rsid w:val="00153671"/>
  </w:style>
  <w:style w:type="character" w:styleId="a9">
    <w:name w:val="page number"/>
    <w:basedOn w:val="a0"/>
    <w:rsid w:val="00153671"/>
  </w:style>
  <w:style w:type="character" w:styleId="aa">
    <w:name w:val="Strong"/>
    <w:qFormat/>
    <w:rsid w:val="00153671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153671"/>
  </w:style>
  <w:style w:type="numbering" w:customStyle="1" w:styleId="111">
    <w:name w:val="Без списък111"/>
    <w:next w:val="a2"/>
    <w:semiHidden/>
    <w:rsid w:val="00153671"/>
  </w:style>
  <w:style w:type="character" w:styleId="ab">
    <w:name w:val="annotation reference"/>
    <w:basedOn w:val="a0"/>
    <w:semiHidden/>
    <w:rsid w:val="00153671"/>
    <w:rPr>
      <w:sz w:val="16"/>
      <w:szCs w:val="16"/>
    </w:rPr>
  </w:style>
  <w:style w:type="paragraph" w:styleId="ac">
    <w:name w:val="annotation text"/>
    <w:basedOn w:val="a"/>
    <w:link w:val="ad"/>
    <w:semiHidden/>
    <w:rsid w:val="0015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Текст на коментар Знак"/>
    <w:basedOn w:val="a0"/>
    <w:link w:val="ac"/>
    <w:semiHidden/>
    <w:rsid w:val="0015367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semiHidden/>
    <w:rsid w:val="001536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15367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2">
    <w:name w:val="Списък на абзаци1"/>
    <w:basedOn w:val="a"/>
    <w:link w:val="ListParagraphChar"/>
    <w:qFormat/>
    <w:rsid w:val="00153671"/>
    <w:pPr>
      <w:ind w:left="720"/>
    </w:pPr>
    <w:rPr>
      <w:rFonts w:ascii="Calibri" w:eastAsia="Calibri" w:hAnsi="Calibri" w:cs="Calibri"/>
    </w:rPr>
  </w:style>
  <w:style w:type="paragraph" w:styleId="af0">
    <w:name w:val="footnote text"/>
    <w:basedOn w:val="a"/>
    <w:link w:val="af1"/>
    <w:unhideWhenUsed/>
    <w:rsid w:val="001536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од линия Знак"/>
    <w:basedOn w:val="a0"/>
    <w:link w:val="af0"/>
    <w:rsid w:val="001536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153671"/>
    <w:rPr>
      <w:vertAlign w:val="superscript"/>
    </w:rPr>
  </w:style>
  <w:style w:type="character" w:customStyle="1" w:styleId="ListParagraphChar">
    <w:name w:val="List Paragraph Char"/>
    <w:link w:val="12"/>
    <w:rsid w:val="00153671"/>
    <w:rPr>
      <w:rFonts w:ascii="Calibri" w:eastAsia="Calibri" w:hAnsi="Calibri" w:cs="Calibri"/>
    </w:rPr>
  </w:style>
  <w:style w:type="table" w:styleId="af3">
    <w:name w:val="Table Grid"/>
    <w:basedOn w:val="a1"/>
    <w:rsid w:val="0015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671"/>
    <w:rPr>
      <w:rFonts w:cs="Times New Roman"/>
    </w:rPr>
  </w:style>
  <w:style w:type="character" w:customStyle="1" w:styleId="no-wrap-white-space">
    <w:name w:val="no-wrap-white-space"/>
    <w:basedOn w:val="a0"/>
    <w:rsid w:val="00153671"/>
  </w:style>
  <w:style w:type="paragraph" w:styleId="af4">
    <w:name w:val="annotation subject"/>
    <w:basedOn w:val="ac"/>
    <w:next w:val="ac"/>
    <w:link w:val="af5"/>
    <w:semiHidden/>
    <w:rsid w:val="00153671"/>
    <w:rPr>
      <w:b/>
      <w:bCs/>
    </w:rPr>
  </w:style>
  <w:style w:type="character" w:customStyle="1" w:styleId="af5">
    <w:name w:val="Предмет на коментар Знак"/>
    <w:basedOn w:val="ad"/>
    <w:link w:val="af4"/>
    <w:semiHidden/>
    <w:rsid w:val="0015367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6">
    <w:name w:val="Normal (Web)"/>
    <w:basedOn w:val="a"/>
    <w:semiHidden/>
    <w:rsid w:val="001536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">
    <w:name w:val="Знак Знак Char Char"/>
    <w:basedOn w:val="a"/>
    <w:rsid w:val="001536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">
    <w:name w:val="HTML Preformatted"/>
    <w:basedOn w:val="a"/>
    <w:link w:val="HTML0"/>
    <w:rsid w:val="0015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15367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15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83</Pages>
  <Words>21892</Words>
  <Characters>124787</Characters>
  <Application>Microsoft Office Word</Application>
  <DocSecurity>0</DocSecurity>
  <Lines>1039</Lines>
  <Paragraphs>292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2020-03-31T10:11:00Z</dcterms:created>
  <dcterms:modified xsi:type="dcterms:W3CDTF">2020-03-31T11:19:00Z</dcterms:modified>
</cp:coreProperties>
</file>