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BD25" w14:textId="77777777" w:rsidR="00145D30" w:rsidRPr="00145D30" w:rsidRDefault="00000000" w:rsidP="00145D30">
      <w:pPr>
        <w:spacing w:after="0" w:line="276" w:lineRule="auto"/>
        <w:ind w:left="10" w:right="4" w:hanging="10"/>
        <w:jc w:val="center"/>
        <w:rPr>
          <w:rFonts w:ascii="Garamond" w:eastAsia="Times New Roman" w:hAnsi="Garamond" w:cs="Times New Roman"/>
          <w:b/>
          <w:bCs/>
          <w:sz w:val="24"/>
          <w:szCs w:val="24"/>
        </w:rPr>
      </w:pPr>
      <w:r w:rsidRPr="00145D30">
        <w:rPr>
          <w:rFonts w:ascii="Garamond" w:eastAsia="Times New Roman" w:hAnsi="Garamond" w:cs="Times New Roman"/>
          <w:b/>
          <w:bCs/>
          <w:sz w:val="24"/>
          <w:szCs w:val="24"/>
        </w:rPr>
        <w:t xml:space="preserve">СПРАВКА </w:t>
      </w:r>
    </w:p>
    <w:p w14:paraId="244A191B" w14:textId="57E8FD2C" w:rsidR="001D329D" w:rsidRPr="00145D30" w:rsidRDefault="00145D30" w:rsidP="00145D30">
      <w:pPr>
        <w:spacing w:after="0" w:line="276" w:lineRule="auto"/>
        <w:ind w:left="10" w:right="4" w:hanging="10"/>
        <w:jc w:val="center"/>
        <w:rPr>
          <w:rFonts w:ascii="Garamond" w:hAnsi="Garamond"/>
          <w:sz w:val="24"/>
          <w:szCs w:val="24"/>
        </w:rPr>
      </w:pPr>
      <w:r w:rsidRPr="00145D30">
        <w:rPr>
          <w:rFonts w:ascii="Garamond" w:eastAsia="Times New Roman" w:hAnsi="Garamond" w:cs="Times New Roman"/>
          <w:sz w:val="24"/>
          <w:szCs w:val="24"/>
        </w:rPr>
        <w:t xml:space="preserve">по чл. 26, ал. 5 от Закона за нормативните актове </w:t>
      </w:r>
    </w:p>
    <w:p w14:paraId="1F35E847" w14:textId="77777777" w:rsidR="00145D30" w:rsidRPr="00145D30" w:rsidRDefault="00145D30" w:rsidP="00145D30">
      <w:pPr>
        <w:spacing w:after="0" w:line="276" w:lineRule="auto"/>
        <w:ind w:left="10" w:hanging="10"/>
        <w:jc w:val="center"/>
        <w:rPr>
          <w:rFonts w:ascii="Garamond" w:eastAsia="Times New Roman" w:hAnsi="Garamond" w:cs="Times New Roman"/>
          <w:sz w:val="24"/>
          <w:szCs w:val="24"/>
        </w:rPr>
      </w:pPr>
      <w:r w:rsidRPr="00145D30">
        <w:rPr>
          <w:rFonts w:ascii="Garamond" w:eastAsia="Times New Roman" w:hAnsi="Garamond" w:cs="Times New Roman"/>
          <w:sz w:val="24"/>
          <w:szCs w:val="24"/>
        </w:rPr>
        <w:t xml:space="preserve">за отразяване на становища, получени при обществената консултация </w:t>
      </w:r>
    </w:p>
    <w:p w14:paraId="49B1D449" w14:textId="4EAF7065" w:rsidR="001D329D" w:rsidRPr="00145D30" w:rsidRDefault="00145D30" w:rsidP="00145D30">
      <w:pPr>
        <w:spacing w:after="0" w:line="276" w:lineRule="auto"/>
        <w:ind w:left="10" w:hanging="10"/>
        <w:jc w:val="center"/>
        <w:rPr>
          <w:rFonts w:ascii="Garamond" w:hAnsi="Garamond"/>
          <w:sz w:val="24"/>
          <w:szCs w:val="24"/>
        </w:rPr>
      </w:pPr>
      <w:r w:rsidRPr="00145D30">
        <w:rPr>
          <w:rFonts w:ascii="Garamond" w:eastAsia="Times New Roman" w:hAnsi="Garamond" w:cs="Times New Roman"/>
          <w:sz w:val="24"/>
          <w:szCs w:val="24"/>
        </w:rPr>
        <w:t>по проект на</w:t>
      </w:r>
      <w:r w:rsidRPr="00145D30">
        <w:rPr>
          <w:sz w:val="24"/>
          <w:szCs w:val="24"/>
        </w:rPr>
        <w:t xml:space="preserve"> </w:t>
      </w:r>
      <w:r w:rsidRPr="00145D30">
        <w:rPr>
          <w:rFonts w:ascii="Garamond" w:eastAsia="Times New Roman" w:hAnsi="Garamond" w:cs="Times New Roman"/>
          <w:sz w:val="24"/>
          <w:szCs w:val="24"/>
        </w:rPr>
        <w:t xml:space="preserve">Наредба за изменение на Наредба № 36 за определяне размера на местните данъци на територията на община Никопол, приета с Решение № 115/26.08.2020 г. на Общински съвет – Никопол </w:t>
      </w:r>
      <w:r w:rsidR="00000000" w:rsidRPr="00145D30">
        <w:rPr>
          <w:rFonts w:ascii="Garamond" w:eastAsia="Times New Roman" w:hAnsi="Garamond" w:cs="Times New Roman"/>
          <w:sz w:val="24"/>
          <w:szCs w:val="24"/>
        </w:rPr>
        <w:t xml:space="preserve"> </w:t>
      </w:r>
    </w:p>
    <w:p w14:paraId="4629DD32" w14:textId="77777777" w:rsidR="001D329D" w:rsidRPr="00145D30" w:rsidRDefault="00000000" w:rsidP="00145D30">
      <w:pPr>
        <w:spacing w:after="0" w:line="276" w:lineRule="auto"/>
        <w:ind w:left="772"/>
        <w:jc w:val="center"/>
        <w:rPr>
          <w:rFonts w:ascii="Garamond" w:hAnsi="Garamond"/>
          <w:sz w:val="24"/>
          <w:szCs w:val="24"/>
        </w:rPr>
      </w:pPr>
      <w:r w:rsidRPr="00145D30">
        <w:rPr>
          <w:rFonts w:ascii="Garamond" w:eastAsia="Cambria" w:hAnsi="Garamond" w:cs="Cambria"/>
          <w:b/>
          <w:sz w:val="24"/>
          <w:szCs w:val="24"/>
        </w:rPr>
        <w:t xml:space="preserve"> </w:t>
      </w:r>
    </w:p>
    <w:tbl>
      <w:tblPr>
        <w:tblStyle w:val="TableGrid"/>
        <w:tblpPr w:leftFromText="141" w:rightFromText="141" w:vertAnchor="text" w:tblpXSpec="center" w:tblpY="1"/>
        <w:tblOverlap w:val="never"/>
        <w:tblW w:w="14785" w:type="dxa"/>
        <w:jc w:val="center"/>
        <w:tblInd w:w="0" w:type="dxa"/>
        <w:tblCellMar>
          <w:top w:w="31" w:type="dxa"/>
          <w:left w:w="107" w:type="dxa"/>
          <w:bottom w:w="0" w:type="dxa"/>
          <w:right w:w="61" w:type="dxa"/>
        </w:tblCellMar>
        <w:tblLook w:val="04A0" w:firstRow="1" w:lastRow="0" w:firstColumn="1" w:lastColumn="0" w:noHBand="0" w:noVBand="1"/>
      </w:tblPr>
      <w:tblGrid>
        <w:gridCol w:w="6145"/>
        <w:gridCol w:w="3505"/>
        <w:gridCol w:w="1924"/>
        <w:gridCol w:w="3211"/>
      </w:tblGrid>
      <w:tr w:rsidR="001D329D" w:rsidRPr="00145D30" w14:paraId="356B8DD0" w14:textId="77777777" w:rsidTr="00003024">
        <w:trPr>
          <w:trHeight w:val="782"/>
          <w:jc w:val="center"/>
        </w:trPr>
        <w:tc>
          <w:tcPr>
            <w:tcW w:w="6145" w:type="dxa"/>
            <w:tcBorders>
              <w:top w:val="single" w:sz="4" w:space="0" w:color="000000"/>
              <w:left w:val="single" w:sz="4" w:space="0" w:color="000000"/>
              <w:bottom w:val="single" w:sz="4" w:space="0" w:color="000000"/>
              <w:right w:val="single" w:sz="4" w:space="0" w:color="000000"/>
            </w:tcBorders>
            <w:shd w:val="clear" w:color="auto" w:fill="8DB3E2"/>
          </w:tcPr>
          <w:p w14:paraId="4F17977D" w14:textId="77777777" w:rsidR="001D329D" w:rsidRPr="00145D30" w:rsidRDefault="00000000" w:rsidP="00145D30">
            <w:pPr>
              <w:spacing w:after="0" w:line="276" w:lineRule="auto"/>
              <w:ind w:firstLine="10"/>
              <w:jc w:val="center"/>
              <w:rPr>
                <w:rFonts w:ascii="Garamond" w:hAnsi="Garamond"/>
                <w:sz w:val="24"/>
                <w:szCs w:val="24"/>
              </w:rPr>
            </w:pPr>
            <w:r w:rsidRPr="00145D30">
              <w:rPr>
                <w:rFonts w:ascii="Garamond" w:eastAsia="Cambria" w:hAnsi="Garamond" w:cs="Cambria"/>
                <w:b/>
                <w:sz w:val="24"/>
                <w:szCs w:val="24"/>
              </w:rPr>
              <w:t xml:space="preserve">Портал за обществени консултации </w:t>
            </w:r>
          </w:p>
        </w:tc>
        <w:tc>
          <w:tcPr>
            <w:tcW w:w="3505" w:type="dxa"/>
            <w:tcBorders>
              <w:top w:val="single" w:sz="4" w:space="0" w:color="000000"/>
              <w:left w:val="single" w:sz="4" w:space="0" w:color="000000"/>
              <w:bottom w:val="single" w:sz="4" w:space="0" w:color="000000"/>
              <w:right w:val="single" w:sz="4" w:space="0" w:color="000000"/>
            </w:tcBorders>
            <w:shd w:val="clear" w:color="auto" w:fill="8DB3E2"/>
          </w:tcPr>
          <w:p w14:paraId="571B6575" w14:textId="77777777" w:rsidR="001D329D" w:rsidRPr="00145D30" w:rsidRDefault="00000000" w:rsidP="00145D30">
            <w:pPr>
              <w:spacing w:after="0" w:line="276" w:lineRule="auto"/>
              <w:ind w:right="25"/>
              <w:jc w:val="center"/>
              <w:rPr>
                <w:rFonts w:ascii="Garamond" w:hAnsi="Garamond"/>
                <w:sz w:val="24"/>
                <w:szCs w:val="24"/>
              </w:rPr>
            </w:pPr>
            <w:r w:rsidRPr="00145D30">
              <w:rPr>
                <w:rFonts w:ascii="Garamond" w:eastAsia="Cambria" w:hAnsi="Garamond" w:cs="Cambria"/>
                <w:b/>
                <w:sz w:val="24"/>
                <w:szCs w:val="24"/>
              </w:rPr>
              <w:t xml:space="preserve">Предложение </w:t>
            </w:r>
          </w:p>
        </w:tc>
        <w:tc>
          <w:tcPr>
            <w:tcW w:w="1924" w:type="dxa"/>
            <w:tcBorders>
              <w:top w:val="single" w:sz="4" w:space="0" w:color="000000"/>
              <w:left w:val="single" w:sz="4" w:space="0" w:color="000000"/>
              <w:bottom w:val="single" w:sz="4" w:space="0" w:color="000000"/>
              <w:right w:val="single" w:sz="4" w:space="0" w:color="000000"/>
            </w:tcBorders>
            <w:shd w:val="clear" w:color="auto" w:fill="8DB3E2"/>
          </w:tcPr>
          <w:p w14:paraId="51102B8B" w14:textId="77777777" w:rsidR="001D329D" w:rsidRPr="00145D30" w:rsidRDefault="00000000" w:rsidP="00145D30">
            <w:pPr>
              <w:spacing w:after="0" w:line="276" w:lineRule="auto"/>
              <w:jc w:val="center"/>
              <w:rPr>
                <w:rFonts w:ascii="Garamond" w:hAnsi="Garamond"/>
                <w:sz w:val="24"/>
                <w:szCs w:val="24"/>
              </w:rPr>
            </w:pPr>
            <w:r w:rsidRPr="00145D30">
              <w:rPr>
                <w:rFonts w:ascii="Garamond" w:eastAsia="Cambria" w:hAnsi="Garamond" w:cs="Cambria"/>
                <w:b/>
                <w:sz w:val="24"/>
                <w:szCs w:val="24"/>
              </w:rPr>
              <w:t xml:space="preserve">Приема / не приема </w:t>
            </w:r>
          </w:p>
          <w:p w14:paraId="74635EDE" w14:textId="77777777" w:rsidR="001D329D" w:rsidRPr="00145D30" w:rsidRDefault="00000000" w:rsidP="00145D30">
            <w:pPr>
              <w:spacing w:after="0" w:line="276" w:lineRule="auto"/>
              <w:ind w:left="40"/>
              <w:rPr>
                <w:rFonts w:ascii="Garamond" w:hAnsi="Garamond"/>
                <w:sz w:val="24"/>
                <w:szCs w:val="24"/>
              </w:rPr>
            </w:pPr>
            <w:r w:rsidRPr="00145D30">
              <w:rPr>
                <w:rFonts w:ascii="Garamond" w:eastAsia="Cambria" w:hAnsi="Garamond" w:cs="Cambria"/>
                <w:b/>
                <w:sz w:val="24"/>
                <w:szCs w:val="24"/>
              </w:rPr>
              <w:t xml:space="preserve">предложението </w:t>
            </w:r>
          </w:p>
        </w:tc>
        <w:tc>
          <w:tcPr>
            <w:tcW w:w="3211" w:type="dxa"/>
            <w:tcBorders>
              <w:top w:val="single" w:sz="4" w:space="0" w:color="000000"/>
              <w:left w:val="single" w:sz="4" w:space="0" w:color="000000"/>
              <w:bottom w:val="single" w:sz="4" w:space="0" w:color="000000"/>
              <w:right w:val="single" w:sz="4" w:space="0" w:color="000000"/>
            </w:tcBorders>
            <w:shd w:val="clear" w:color="auto" w:fill="8DB3E2"/>
          </w:tcPr>
          <w:p w14:paraId="233B4FA7" w14:textId="77777777" w:rsidR="001D329D" w:rsidRPr="00145D30" w:rsidRDefault="00000000" w:rsidP="00145D30">
            <w:pPr>
              <w:spacing w:after="0" w:line="276" w:lineRule="auto"/>
              <w:ind w:right="22"/>
              <w:jc w:val="center"/>
              <w:rPr>
                <w:rFonts w:ascii="Garamond" w:hAnsi="Garamond"/>
                <w:sz w:val="24"/>
                <w:szCs w:val="24"/>
              </w:rPr>
            </w:pPr>
            <w:r w:rsidRPr="00145D30">
              <w:rPr>
                <w:rFonts w:ascii="Garamond" w:eastAsia="Cambria" w:hAnsi="Garamond" w:cs="Cambria"/>
                <w:b/>
                <w:sz w:val="24"/>
                <w:szCs w:val="24"/>
              </w:rPr>
              <w:t xml:space="preserve">Мотиви </w:t>
            </w:r>
          </w:p>
        </w:tc>
      </w:tr>
      <w:tr w:rsidR="001D329D" w:rsidRPr="00145D30" w14:paraId="08A76440" w14:textId="77777777" w:rsidTr="00003024">
        <w:trPr>
          <w:trHeight w:val="4913"/>
          <w:jc w:val="center"/>
        </w:trPr>
        <w:tc>
          <w:tcPr>
            <w:tcW w:w="6145" w:type="dxa"/>
            <w:tcBorders>
              <w:top w:val="single" w:sz="4" w:space="0" w:color="000000"/>
              <w:left w:val="single" w:sz="4" w:space="0" w:color="000000"/>
              <w:bottom w:val="single" w:sz="4" w:space="0" w:color="000000"/>
              <w:right w:val="single" w:sz="4" w:space="0" w:color="000000"/>
            </w:tcBorders>
          </w:tcPr>
          <w:p w14:paraId="068D895C" w14:textId="398144CB" w:rsidR="001D329D" w:rsidRPr="00145D30" w:rsidRDefault="00145D30" w:rsidP="00145D30">
            <w:pPr>
              <w:spacing w:after="0" w:line="276" w:lineRule="auto"/>
              <w:ind w:left="7"/>
              <w:jc w:val="center"/>
              <w:rPr>
                <w:rFonts w:ascii="Garamond" w:hAnsi="Garamond"/>
                <w:sz w:val="24"/>
                <w:szCs w:val="24"/>
              </w:rPr>
            </w:pPr>
            <w:hyperlink r:id="rId5" w:history="1">
              <w:r w:rsidRPr="00145D30">
                <w:rPr>
                  <w:rStyle w:val="a3"/>
                  <w:rFonts w:ascii="Garamond" w:hAnsi="Garamond"/>
                  <w:sz w:val="24"/>
                  <w:szCs w:val="24"/>
                </w:rPr>
                <w:t>https://strategy.bg/Public</w:t>
              </w:r>
              <w:r w:rsidRPr="00145D30">
                <w:rPr>
                  <w:rStyle w:val="a3"/>
                  <w:rFonts w:ascii="Garamond" w:hAnsi="Garamond"/>
                  <w:sz w:val="24"/>
                  <w:szCs w:val="24"/>
                </w:rPr>
                <w:t>C</w:t>
              </w:r>
              <w:r w:rsidRPr="00145D30">
                <w:rPr>
                  <w:rStyle w:val="a3"/>
                  <w:rFonts w:ascii="Garamond" w:hAnsi="Garamond"/>
                  <w:sz w:val="24"/>
                  <w:szCs w:val="24"/>
                </w:rPr>
                <w:t>onsultations/View.aspx?@lang=bg-BG&amp;Id=8019</w:t>
              </w:r>
            </w:hyperlink>
            <w:r w:rsidRPr="00145D30">
              <w:rPr>
                <w:rFonts w:ascii="Garamond" w:hAnsi="Garamond"/>
                <w:sz w:val="24"/>
                <w:szCs w:val="24"/>
              </w:rPr>
              <w:t xml:space="preserve"> </w:t>
            </w:r>
            <w:r w:rsidR="00000000" w:rsidRPr="00145D30">
              <w:rPr>
                <w:rFonts w:ascii="Garamond" w:eastAsia="Cambria" w:hAnsi="Garamond" w:cs="Cambria"/>
                <w:sz w:val="24"/>
                <w:szCs w:val="24"/>
              </w:rPr>
              <w:t xml:space="preserve"> </w:t>
            </w:r>
          </w:p>
        </w:tc>
        <w:tc>
          <w:tcPr>
            <w:tcW w:w="3505" w:type="dxa"/>
            <w:tcBorders>
              <w:top w:val="single" w:sz="4" w:space="0" w:color="000000"/>
              <w:left w:val="single" w:sz="4" w:space="0" w:color="000000"/>
              <w:bottom w:val="single" w:sz="4" w:space="0" w:color="000000"/>
              <w:right w:val="single" w:sz="4" w:space="0" w:color="000000"/>
            </w:tcBorders>
          </w:tcPr>
          <w:p w14:paraId="273E7644" w14:textId="1DF48ACE" w:rsidR="00003024" w:rsidRDefault="00003024" w:rsidP="00003024">
            <w:pPr>
              <w:spacing w:after="0" w:line="276" w:lineRule="auto"/>
              <w:ind w:left="1"/>
              <w:jc w:val="both"/>
              <w:rPr>
                <w:rFonts w:ascii="Garamond" w:eastAsia="Cambria" w:hAnsi="Garamond" w:cs="Cambria"/>
                <w:sz w:val="24"/>
                <w:szCs w:val="24"/>
              </w:rPr>
            </w:pPr>
            <w:r w:rsidRPr="00003024">
              <w:rPr>
                <w:rFonts w:ascii="Garamond" w:eastAsia="Cambria" w:hAnsi="Garamond" w:cs="Cambria"/>
                <w:sz w:val="24"/>
                <w:szCs w:val="24"/>
              </w:rPr>
              <w:t xml:space="preserve">Представям на Вашето внимание следното предложението, във връзка с внесения проект на Наредба № 36 за определяне размера на местните данъци на територията на община Никопол. </w:t>
            </w:r>
          </w:p>
          <w:p w14:paraId="52AC8A9E" w14:textId="497DB031" w:rsidR="00003024" w:rsidRDefault="00003024" w:rsidP="00003024">
            <w:pPr>
              <w:spacing w:after="0" w:line="276" w:lineRule="auto"/>
              <w:ind w:left="1"/>
              <w:jc w:val="both"/>
              <w:rPr>
                <w:rFonts w:ascii="Garamond" w:eastAsia="Cambria" w:hAnsi="Garamond" w:cs="Cambria"/>
                <w:sz w:val="24"/>
                <w:szCs w:val="24"/>
              </w:rPr>
            </w:pPr>
            <w:r w:rsidRPr="00003024">
              <w:rPr>
                <w:rFonts w:ascii="Garamond" w:eastAsia="Cambria" w:hAnsi="Garamond" w:cs="Cambria"/>
                <w:sz w:val="24"/>
                <w:szCs w:val="24"/>
              </w:rPr>
              <w:t>Считам за  уместно вдигането размера  на данъка върху недвижимите имоти да става плавно и по етапно. Тъкмо ще може да  се проследи дали това ще окаже правилния начин за увеличаване на местните приходи и  същевременно няма да  се окаже изведнъж в голяма степен в тежест на данъкоплатците на територията на община Никопол.</w:t>
            </w:r>
          </w:p>
          <w:p w14:paraId="0E89848B" w14:textId="224BD80F" w:rsidR="00003024" w:rsidRPr="00003024" w:rsidRDefault="00003024" w:rsidP="00003024">
            <w:pPr>
              <w:spacing w:after="0" w:line="276" w:lineRule="auto"/>
              <w:ind w:left="1"/>
              <w:jc w:val="both"/>
              <w:rPr>
                <w:rFonts w:ascii="Garamond" w:eastAsia="Cambria" w:hAnsi="Garamond" w:cs="Cambria"/>
                <w:sz w:val="24"/>
                <w:szCs w:val="24"/>
              </w:rPr>
            </w:pPr>
            <w:r w:rsidRPr="00003024">
              <w:rPr>
                <w:rFonts w:ascii="Garamond" w:eastAsia="Cambria" w:hAnsi="Garamond" w:cs="Cambria"/>
                <w:sz w:val="24"/>
                <w:szCs w:val="24"/>
              </w:rPr>
              <w:t>Мотивите ми за това са следните:</w:t>
            </w:r>
          </w:p>
          <w:p w14:paraId="57840000" w14:textId="75DD2559" w:rsidR="00003024" w:rsidRDefault="00003024" w:rsidP="00003024">
            <w:pPr>
              <w:spacing w:after="0" w:line="276" w:lineRule="auto"/>
              <w:ind w:left="1"/>
              <w:jc w:val="both"/>
              <w:rPr>
                <w:rFonts w:ascii="Garamond" w:eastAsia="Cambria" w:hAnsi="Garamond" w:cs="Cambria"/>
                <w:sz w:val="24"/>
                <w:szCs w:val="24"/>
              </w:rPr>
            </w:pPr>
            <w:r w:rsidRPr="00003024">
              <w:rPr>
                <w:rFonts w:ascii="Garamond" w:eastAsia="Cambria" w:hAnsi="Garamond" w:cs="Cambria"/>
                <w:sz w:val="24"/>
                <w:szCs w:val="24"/>
              </w:rPr>
              <w:t xml:space="preserve">В докладната записка е посочено, че просрочените вземания от </w:t>
            </w:r>
            <w:r w:rsidRPr="00003024">
              <w:rPr>
                <w:rFonts w:ascii="Garamond" w:eastAsia="Cambria" w:hAnsi="Garamond" w:cs="Cambria"/>
                <w:sz w:val="24"/>
                <w:szCs w:val="24"/>
              </w:rPr>
              <w:lastRenderedPageBreak/>
              <w:t>нередовните данъкоплатци са трудно събираеми или несъбираеми. От така изложеното се  стига до заключение, че при по-ниски данъци е налице несъбираемост. Да не се окаже, че  от ефекта който се очаква за в бъдеще да се постигне с увеличение на данъците да се стигне до по нежелан резултат от този до момента. Защото е възможно събираемостта да стане по-лоша от досегашната, тъй като е възможно гражданите да започнат да отлагат плащания до тогава докогато е възможно.</w:t>
            </w:r>
          </w:p>
          <w:p w14:paraId="607FE6F8" w14:textId="2B1C0B37" w:rsidR="00003024" w:rsidRPr="00003024" w:rsidRDefault="00003024" w:rsidP="00003024">
            <w:pPr>
              <w:spacing w:after="0" w:line="276" w:lineRule="auto"/>
              <w:ind w:left="1"/>
              <w:jc w:val="both"/>
              <w:rPr>
                <w:rFonts w:ascii="Garamond" w:eastAsia="Cambria" w:hAnsi="Garamond" w:cs="Cambria"/>
                <w:sz w:val="24"/>
                <w:szCs w:val="24"/>
              </w:rPr>
            </w:pPr>
            <w:r w:rsidRPr="00003024">
              <w:rPr>
                <w:rFonts w:ascii="Garamond" w:eastAsia="Cambria" w:hAnsi="Garamond" w:cs="Cambria"/>
                <w:sz w:val="24"/>
                <w:szCs w:val="24"/>
              </w:rPr>
              <w:t xml:space="preserve">Същото така в докладната е посочено, че са повишени разходите за: осветление на улици и площади; изграждане, ремонт и поддържане на уличната мрежа; други дейности по жилищно строителство; благоустройство и регионално развитие; озеленяване и др. налагащи необходимостта от промяна в данъците. Липсата на своевременни и адекватни програми и мерки, финансирани от външни източници, за </w:t>
            </w:r>
            <w:r w:rsidRPr="00003024">
              <w:rPr>
                <w:rFonts w:ascii="Garamond" w:eastAsia="Cambria" w:hAnsi="Garamond" w:cs="Cambria"/>
                <w:sz w:val="24"/>
                <w:szCs w:val="24"/>
              </w:rPr>
              <w:lastRenderedPageBreak/>
              <w:t>ангажиране на работници в помощ при поддържане на уличната мрежа, благоустройство, чистота и др. И най - накрая стигаме до разковничето на проблема по селата. От тук тръгват и проблемите с някои граждани, които не искат да плащат своите данъци, тъй като не са еднакво третирани от местното управление. Като пример ще дам с. Муселиево, тъй като над него имам поглед и много разговори проведени с жителите на селото. Възмущението им е точно от такова естество, че защо да си плащат данъците, като никога не са се възползвали от услугата на улицата, на която живеят поне веднъж да е извършена поддръжка на уличната мрежа. Поддържат се едни и същи  определени улици, а по някои от тях не</w:t>
            </w:r>
            <w:r>
              <w:rPr>
                <w:rFonts w:ascii="Garamond" w:eastAsia="Cambria" w:hAnsi="Garamond" w:cs="Cambria"/>
                <w:sz w:val="24"/>
                <w:szCs w:val="24"/>
              </w:rPr>
              <w:t xml:space="preserve"> </w:t>
            </w:r>
            <w:r w:rsidRPr="00003024">
              <w:rPr>
                <w:rFonts w:ascii="Garamond" w:eastAsia="Cambria" w:hAnsi="Garamond" w:cs="Cambria"/>
                <w:sz w:val="24"/>
                <w:szCs w:val="24"/>
              </w:rPr>
              <w:t xml:space="preserve">може дори да се премине. Така, че политиката която следва да се промени е друго естество  и смятам, че тогава хората няма да роптаят и да се стига до неплащане на данъците. </w:t>
            </w:r>
          </w:p>
          <w:p w14:paraId="25CC90BC" w14:textId="77777777" w:rsidR="00003024" w:rsidRPr="00003024" w:rsidRDefault="00003024" w:rsidP="00003024">
            <w:pPr>
              <w:spacing w:after="0" w:line="276" w:lineRule="auto"/>
              <w:ind w:left="1"/>
              <w:jc w:val="both"/>
              <w:rPr>
                <w:rFonts w:ascii="Garamond" w:eastAsia="Cambria" w:hAnsi="Garamond" w:cs="Cambria"/>
                <w:sz w:val="24"/>
                <w:szCs w:val="24"/>
              </w:rPr>
            </w:pPr>
            <w:r w:rsidRPr="00003024">
              <w:rPr>
                <w:rFonts w:ascii="Garamond" w:eastAsia="Cambria" w:hAnsi="Garamond" w:cs="Cambria"/>
                <w:sz w:val="24"/>
                <w:szCs w:val="24"/>
              </w:rPr>
              <w:lastRenderedPageBreak/>
              <w:t>На следващо място искам да отбележа, че по населените места на територията на община Никопол преобладаващото население са предимно пенсионери.  Следва да се има е в предвид, че повечето от тях получават минимални пенсии. Затова смятам, че на този етап това увеличение ще  се отрази  неблагоприятно на бюджета им.</w:t>
            </w:r>
          </w:p>
          <w:p w14:paraId="4C72AD7E" w14:textId="2C66CA06" w:rsidR="001D329D" w:rsidRPr="00145D30" w:rsidRDefault="00003024" w:rsidP="00003024">
            <w:pPr>
              <w:spacing w:after="0" w:line="276" w:lineRule="auto"/>
              <w:ind w:left="1"/>
              <w:jc w:val="both"/>
              <w:rPr>
                <w:rFonts w:ascii="Garamond" w:hAnsi="Garamond"/>
                <w:sz w:val="24"/>
                <w:szCs w:val="24"/>
              </w:rPr>
            </w:pPr>
            <w:r w:rsidRPr="00003024">
              <w:rPr>
                <w:rFonts w:ascii="Garamond" w:eastAsia="Cambria" w:hAnsi="Garamond" w:cs="Cambria"/>
                <w:sz w:val="24"/>
                <w:szCs w:val="24"/>
              </w:rPr>
              <w:t>Затова предлагам следното изменение в чл.14, ал.1, т. 2- Данъкът върху недвижимите имоти на територията на населените места на с. Бацова махала, село Санадиново, с. Новачене, с. Асеново, с. Дебово, с. Муселиево, с. Евлогиево, с. Жернов, с. Черковица, с. Драгаш войвода, с. Въбел, с.</w:t>
            </w:r>
            <w:r>
              <w:rPr>
                <w:rFonts w:ascii="Garamond" w:eastAsia="Cambria" w:hAnsi="Garamond" w:cs="Cambria"/>
                <w:sz w:val="24"/>
                <w:szCs w:val="24"/>
              </w:rPr>
              <w:t xml:space="preserve"> </w:t>
            </w:r>
            <w:r w:rsidRPr="00003024">
              <w:rPr>
                <w:rFonts w:ascii="Garamond" w:eastAsia="Cambria" w:hAnsi="Garamond" w:cs="Cambria"/>
                <w:sz w:val="24"/>
                <w:szCs w:val="24"/>
              </w:rPr>
              <w:t>Любеново, с. Лозица- собственост на физически лица е в размер на 3,6 на хиляда върху данъчната оценка на недвижимия имот.</w:t>
            </w:r>
          </w:p>
        </w:tc>
        <w:tc>
          <w:tcPr>
            <w:tcW w:w="1924" w:type="dxa"/>
            <w:tcBorders>
              <w:top w:val="single" w:sz="4" w:space="0" w:color="000000"/>
              <w:left w:val="single" w:sz="4" w:space="0" w:color="000000"/>
              <w:bottom w:val="single" w:sz="4" w:space="0" w:color="000000"/>
              <w:right w:val="single" w:sz="4" w:space="0" w:color="000000"/>
            </w:tcBorders>
          </w:tcPr>
          <w:p w14:paraId="6676A71E" w14:textId="77777777" w:rsidR="001D329D" w:rsidRPr="00145D30" w:rsidRDefault="00000000" w:rsidP="00145D30">
            <w:pPr>
              <w:spacing w:after="0" w:line="276" w:lineRule="auto"/>
              <w:ind w:right="21"/>
              <w:jc w:val="center"/>
              <w:rPr>
                <w:rFonts w:ascii="Garamond" w:hAnsi="Garamond"/>
                <w:sz w:val="24"/>
                <w:szCs w:val="24"/>
              </w:rPr>
            </w:pPr>
            <w:r w:rsidRPr="00145D30">
              <w:rPr>
                <w:rFonts w:ascii="Garamond" w:eastAsia="Cambria" w:hAnsi="Garamond" w:cs="Cambria"/>
                <w:sz w:val="24"/>
                <w:szCs w:val="24"/>
              </w:rPr>
              <w:lastRenderedPageBreak/>
              <w:t xml:space="preserve">Не се приема </w:t>
            </w:r>
          </w:p>
        </w:tc>
        <w:tc>
          <w:tcPr>
            <w:tcW w:w="3211" w:type="dxa"/>
            <w:tcBorders>
              <w:top w:val="single" w:sz="4" w:space="0" w:color="000000"/>
              <w:left w:val="single" w:sz="4" w:space="0" w:color="000000"/>
              <w:bottom w:val="single" w:sz="4" w:space="0" w:color="000000"/>
              <w:right w:val="single" w:sz="4" w:space="0" w:color="000000"/>
            </w:tcBorders>
          </w:tcPr>
          <w:p w14:paraId="115CFCF9" w14:textId="0DD53D5C" w:rsidR="00C448D3" w:rsidRDefault="00F61D69" w:rsidP="00700A17">
            <w:pPr>
              <w:spacing w:after="0" w:line="276" w:lineRule="auto"/>
              <w:jc w:val="both"/>
              <w:rPr>
                <w:rFonts w:ascii="Garamond" w:hAnsi="Garamond"/>
                <w:sz w:val="24"/>
                <w:szCs w:val="24"/>
              </w:rPr>
            </w:pPr>
            <w:r w:rsidRPr="00F61D69">
              <w:rPr>
                <w:rFonts w:ascii="Garamond" w:hAnsi="Garamond"/>
                <w:sz w:val="24"/>
                <w:szCs w:val="24"/>
              </w:rPr>
              <w:t>Некоректен е опит</w:t>
            </w:r>
            <w:r>
              <w:rPr>
                <w:rFonts w:ascii="Garamond" w:hAnsi="Garamond"/>
                <w:sz w:val="24"/>
                <w:szCs w:val="24"/>
              </w:rPr>
              <w:t>ът</w:t>
            </w:r>
            <w:r w:rsidRPr="00F61D69">
              <w:rPr>
                <w:rFonts w:ascii="Garamond" w:hAnsi="Garamond"/>
                <w:sz w:val="24"/>
                <w:szCs w:val="24"/>
              </w:rPr>
              <w:t xml:space="preserve"> за внушение, че</w:t>
            </w:r>
            <w:r>
              <w:rPr>
                <w:rFonts w:ascii="Garamond" w:hAnsi="Garamond"/>
                <w:sz w:val="24"/>
                <w:szCs w:val="24"/>
              </w:rPr>
              <w:t xml:space="preserve"> </w:t>
            </w:r>
            <w:r w:rsidRPr="00F61D69">
              <w:rPr>
                <w:rFonts w:ascii="Garamond" w:hAnsi="Garamond"/>
                <w:sz w:val="24"/>
                <w:szCs w:val="24"/>
              </w:rPr>
              <w:t>основание за</w:t>
            </w:r>
            <w:r>
              <w:rPr>
                <w:rFonts w:ascii="Garamond" w:hAnsi="Garamond"/>
                <w:sz w:val="24"/>
                <w:szCs w:val="24"/>
              </w:rPr>
              <w:t xml:space="preserve"> неплащане на данъка върху недвижимите имоти </w:t>
            </w:r>
            <w:r w:rsidR="00FD0C01">
              <w:rPr>
                <w:rFonts w:ascii="Garamond" w:hAnsi="Garamond"/>
                <w:sz w:val="24"/>
                <w:szCs w:val="24"/>
              </w:rPr>
              <w:t xml:space="preserve">е </w:t>
            </w:r>
            <w:r>
              <w:rPr>
                <w:rFonts w:ascii="Garamond" w:hAnsi="Garamond"/>
                <w:sz w:val="24"/>
                <w:szCs w:val="24"/>
              </w:rPr>
              <w:t>недоволството на граждани</w:t>
            </w:r>
            <w:r w:rsidR="00FD0C01">
              <w:rPr>
                <w:rFonts w:ascii="Garamond" w:hAnsi="Garamond"/>
                <w:sz w:val="24"/>
                <w:szCs w:val="24"/>
              </w:rPr>
              <w:t>,</w:t>
            </w:r>
            <w:r>
              <w:rPr>
                <w:rFonts w:ascii="Garamond" w:hAnsi="Garamond"/>
                <w:sz w:val="24"/>
                <w:szCs w:val="24"/>
              </w:rPr>
              <w:t xml:space="preserve"> </w:t>
            </w:r>
            <w:r w:rsidR="00FD0C01">
              <w:rPr>
                <w:rFonts w:ascii="Garamond" w:hAnsi="Garamond"/>
                <w:sz w:val="24"/>
                <w:szCs w:val="24"/>
              </w:rPr>
              <w:t>провокирано от неизпълнение задължението</w:t>
            </w:r>
            <w:r w:rsidR="00700A17">
              <w:rPr>
                <w:rFonts w:ascii="Garamond" w:hAnsi="Garamond"/>
                <w:sz w:val="24"/>
                <w:szCs w:val="24"/>
              </w:rPr>
              <w:t xml:space="preserve"> на Община Никопол</w:t>
            </w:r>
            <w:r w:rsidR="00FD0C01">
              <w:rPr>
                <w:rFonts w:ascii="Garamond" w:hAnsi="Garamond"/>
                <w:sz w:val="24"/>
                <w:szCs w:val="24"/>
              </w:rPr>
              <w:t xml:space="preserve"> за поддръжка на общинската мрежа</w:t>
            </w:r>
            <w:r w:rsidR="006F1FDE">
              <w:rPr>
                <w:rFonts w:ascii="Garamond" w:hAnsi="Garamond"/>
                <w:sz w:val="24"/>
                <w:szCs w:val="24"/>
              </w:rPr>
              <w:t xml:space="preserve"> на техническата инфраструктура</w:t>
            </w:r>
            <w:r w:rsidR="00A56A7F">
              <w:rPr>
                <w:rFonts w:ascii="Garamond" w:hAnsi="Garamond"/>
                <w:sz w:val="24"/>
                <w:szCs w:val="24"/>
              </w:rPr>
              <w:t xml:space="preserve"> на селата</w:t>
            </w:r>
            <w:r w:rsidR="00F64CE6">
              <w:rPr>
                <w:rFonts w:ascii="Garamond" w:hAnsi="Garamond"/>
                <w:sz w:val="24"/>
                <w:szCs w:val="24"/>
              </w:rPr>
              <w:t xml:space="preserve"> и по-конкретно тази на с. Муселиево, където само през последните </w:t>
            </w:r>
            <w:r w:rsidR="00A56A7F">
              <w:rPr>
                <w:rFonts w:ascii="Garamond" w:hAnsi="Garamond"/>
                <w:sz w:val="24"/>
                <w:szCs w:val="24"/>
              </w:rPr>
              <w:t>четири</w:t>
            </w:r>
            <w:r w:rsidR="00700A17">
              <w:rPr>
                <w:rFonts w:ascii="Garamond" w:hAnsi="Garamond"/>
                <w:sz w:val="24"/>
                <w:szCs w:val="24"/>
              </w:rPr>
              <w:t xml:space="preserve"> години</w:t>
            </w:r>
            <w:r w:rsidR="00F64CE6">
              <w:rPr>
                <w:rFonts w:ascii="Garamond" w:hAnsi="Garamond"/>
                <w:sz w:val="24"/>
                <w:szCs w:val="24"/>
              </w:rPr>
              <w:t xml:space="preserve"> са </w:t>
            </w:r>
            <w:r w:rsidR="00700A17">
              <w:rPr>
                <w:rFonts w:ascii="Garamond" w:hAnsi="Garamond"/>
                <w:sz w:val="24"/>
                <w:szCs w:val="24"/>
              </w:rPr>
              <w:t xml:space="preserve">вложени </w:t>
            </w:r>
            <w:r w:rsidR="00F64CE6">
              <w:rPr>
                <w:rFonts w:ascii="Garamond" w:hAnsi="Garamond"/>
                <w:sz w:val="24"/>
                <w:szCs w:val="24"/>
              </w:rPr>
              <w:t xml:space="preserve">над </w:t>
            </w:r>
            <w:r w:rsidR="006F1FDE">
              <w:rPr>
                <w:rFonts w:ascii="Garamond" w:hAnsi="Garamond"/>
                <w:sz w:val="24"/>
                <w:szCs w:val="24"/>
              </w:rPr>
              <w:t>9</w:t>
            </w:r>
            <w:r w:rsidR="00F64CE6">
              <w:rPr>
                <w:rFonts w:ascii="Garamond" w:hAnsi="Garamond"/>
                <w:sz w:val="24"/>
                <w:szCs w:val="24"/>
              </w:rPr>
              <w:t>00 000,00 лв. в пътна</w:t>
            </w:r>
            <w:r w:rsidR="00700A17">
              <w:rPr>
                <w:rFonts w:ascii="Garamond" w:hAnsi="Garamond"/>
                <w:sz w:val="24"/>
                <w:szCs w:val="24"/>
              </w:rPr>
              <w:t>та</w:t>
            </w:r>
            <w:r w:rsidR="00F64CE6">
              <w:rPr>
                <w:rFonts w:ascii="Garamond" w:hAnsi="Garamond"/>
                <w:sz w:val="24"/>
                <w:szCs w:val="24"/>
              </w:rPr>
              <w:t xml:space="preserve"> </w:t>
            </w:r>
            <w:r w:rsidR="006F1FDE">
              <w:rPr>
                <w:rFonts w:ascii="Garamond" w:hAnsi="Garamond"/>
                <w:sz w:val="24"/>
                <w:szCs w:val="24"/>
              </w:rPr>
              <w:t>и ВиК мрежа, осветление</w:t>
            </w:r>
            <w:r w:rsidR="003E6B00">
              <w:rPr>
                <w:rFonts w:ascii="Garamond" w:hAnsi="Garamond"/>
                <w:sz w:val="24"/>
                <w:szCs w:val="24"/>
              </w:rPr>
              <w:t xml:space="preserve"> на улици</w:t>
            </w:r>
            <w:r w:rsidR="006F1FDE">
              <w:rPr>
                <w:rFonts w:ascii="Garamond" w:hAnsi="Garamond"/>
                <w:sz w:val="24"/>
                <w:szCs w:val="24"/>
              </w:rPr>
              <w:t>, ремонт на сгради и др</w:t>
            </w:r>
            <w:r w:rsidR="00700A17">
              <w:rPr>
                <w:rFonts w:ascii="Garamond" w:hAnsi="Garamond"/>
                <w:sz w:val="24"/>
                <w:szCs w:val="24"/>
              </w:rPr>
              <w:t>. За сравнение, текущият облог ДНИ на територията на населеното място е</w:t>
            </w:r>
            <w:r w:rsidR="00A56A7F">
              <w:rPr>
                <w:rFonts w:ascii="Garamond" w:hAnsi="Garamond"/>
                <w:sz w:val="24"/>
                <w:szCs w:val="24"/>
              </w:rPr>
              <w:t xml:space="preserve"> </w:t>
            </w:r>
            <w:r w:rsidR="00A56A7F" w:rsidRPr="00BC1ED7">
              <w:rPr>
                <w:rFonts w:ascii="Garamond" w:hAnsi="Garamond"/>
                <w:sz w:val="24"/>
                <w:szCs w:val="24"/>
              </w:rPr>
              <w:t>едва</w:t>
            </w:r>
            <w:r w:rsidR="00700A17" w:rsidRPr="00BC1ED7">
              <w:rPr>
                <w:rFonts w:ascii="Garamond" w:hAnsi="Garamond"/>
                <w:sz w:val="24"/>
                <w:szCs w:val="24"/>
              </w:rPr>
              <w:t xml:space="preserve"> </w:t>
            </w:r>
            <w:r w:rsidR="006F1FDE">
              <w:rPr>
                <w:rFonts w:ascii="Garamond" w:hAnsi="Garamond"/>
                <w:sz w:val="24"/>
                <w:szCs w:val="24"/>
              </w:rPr>
              <w:t>1</w:t>
            </w:r>
            <w:r w:rsidR="00BC1ED7" w:rsidRPr="00BC1ED7">
              <w:rPr>
                <w:rFonts w:ascii="Garamond" w:hAnsi="Garamond"/>
                <w:sz w:val="24"/>
                <w:szCs w:val="24"/>
              </w:rPr>
              <w:t>,1</w:t>
            </w:r>
            <w:r w:rsidR="00700A17" w:rsidRPr="00BC1ED7">
              <w:rPr>
                <w:rFonts w:ascii="Garamond" w:hAnsi="Garamond"/>
                <w:sz w:val="24"/>
                <w:szCs w:val="24"/>
              </w:rPr>
              <w:t xml:space="preserve">% от направените </w:t>
            </w:r>
            <w:r w:rsidR="003E6B00">
              <w:rPr>
                <w:rFonts w:ascii="Garamond" w:hAnsi="Garamond"/>
                <w:sz w:val="24"/>
                <w:szCs w:val="24"/>
              </w:rPr>
              <w:t>за</w:t>
            </w:r>
            <w:r w:rsidR="00694A92" w:rsidRPr="00BC1ED7">
              <w:rPr>
                <w:rFonts w:ascii="Garamond" w:hAnsi="Garamond"/>
                <w:sz w:val="24"/>
                <w:szCs w:val="24"/>
              </w:rPr>
              <w:t xml:space="preserve"> годините</w:t>
            </w:r>
            <w:r w:rsidR="00694A92">
              <w:rPr>
                <w:rFonts w:ascii="Garamond" w:hAnsi="Garamond"/>
                <w:sz w:val="24"/>
                <w:szCs w:val="24"/>
              </w:rPr>
              <w:t xml:space="preserve"> </w:t>
            </w:r>
            <w:r w:rsidR="00A56A7F">
              <w:rPr>
                <w:rFonts w:ascii="Garamond" w:hAnsi="Garamond"/>
                <w:sz w:val="24"/>
                <w:szCs w:val="24"/>
              </w:rPr>
              <w:t>в населеното място</w:t>
            </w:r>
            <w:r w:rsidR="003E6B00">
              <w:rPr>
                <w:rFonts w:ascii="Garamond" w:hAnsi="Garamond"/>
                <w:sz w:val="24"/>
                <w:szCs w:val="24"/>
              </w:rPr>
              <w:t xml:space="preserve"> инвестиции</w:t>
            </w:r>
            <w:r w:rsidR="00A56A7F">
              <w:rPr>
                <w:rFonts w:ascii="Garamond" w:hAnsi="Garamond"/>
                <w:sz w:val="24"/>
                <w:szCs w:val="24"/>
              </w:rPr>
              <w:t xml:space="preserve">. </w:t>
            </w:r>
            <w:r w:rsidR="00A56A7F">
              <w:rPr>
                <w:rFonts w:ascii="Garamond" w:hAnsi="Garamond"/>
                <w:sz w:val="24"/>
                <w:szCs w:val="24"/>
              </w:rPr>
              <w:lastRenderedPageBreak/>
              <w:t xml:space="preserve">Несъстоятелни са аргументите </w:t>
            </w:r>
            <w:r w:rsidR="00C448D3">
              <w:rPr>
                <w:rFonts w:ascii="Garamond" w:hAnsi="Garamond"/>
                <w:sz w:val="24"/>
                <w:szCs w:val="24"/>
              </w:rPr>
              <w:t>за</w:t>
            </w:r>
            <w:r w:rsidR="00A56A7F">
              <w:rPr>
                <w:rFonts w:ascii="Garamond" w:hAnsi="Garamond"/>
                <w:sz w:val="24"/>
                <w:szCs w:val="24"/>
              </w:rPr>
              <w:t xml:space="preserve"> увеличаване на несъбираемостта вследствие на увеличения облог</w:t>
            </w:r>
            <w:r w:rsidR="00C448D3">
              <w:rPr>
                <w:rFonts w:ascii="Garamond" w:hAnsi="Garamond"/>
                <w:sz w:val="24"/>
                <w:szCs w:val="24"/>
              </w:rPr>
              <w:t>.</w:t>
            </w:r>
            <w:r w:rsidR="00453E24">
              <w:rPr>
                <w:rFonts w:ascii="Garamond" w:hAnsi="Garamond"/>
                <w:sz w:val="24"/>
                <w:szCs w:val="24"/>
              </w:rPr>
              <w:t xml:space="preserve"> </w:t>
            </w:r>
            <w:r w:rsidR="00453E24" w:rsidRPr="003E6B00">
              <w:rPr>
                <w:rFonts w:ascii="Garamond" w:hAnsi="Garamond"/>
                <w:sz w:val="24"/>
                <w:szCs w:val="24"/>
              </w:rPr>
              <w:t xml:space="preserve">В доклада с мотиви е отбелязано, че просрочените задължения за 5-годишния давностен период (2018-2023г.), в който могат да бъдат установявани и събирани принудително задължения </w:t>
            </w:r>
            <w:r w:rsidR="00453E24" w:rsidRPr="003E6B00">
              <w:rPr>
                <w:rFonts w:ascii="Garamond" w:hAnsi="Garamond"/>
                <w:sz w:val="24"/>
                <w:szCs w:val="24"/>
                <w:u w:val="single"/>
              </w:rPr>
              <w:t>са незначителна стойност</w:t>
            </w:r>
            <w:r w:rsidR="00453E24" w:rsidRPr="003E6B00">
              <w:rPr>
                <w:rFonts w:ascii="Garamond" w:hAnsi="Garamond"/>
                <w:sz w:val="24"/>
                <w:szCs w:val="24"/>
              </w:rPr>
              <w:t xml:space="preserve"> от </w:t>
            </w:r>
            <w:r w:rsidR="00453E24" w:rsidRPr="003E6B00">
              <w:rPr>
                <w:rFonts w:ascii="Garamond" w:hAnsi="Garamond"/>
                <w:sz w:val="24"/>
                <w:szCs w:val="24"/>
              </w:rPr>
              <w:t>облога</w:t>
            </w:r>
            <w:r w:rsidR="00453E24" w:rsidRPr="003E6B00">
              <w:rPr>
                <w:rFonts w:ascii="Garamond" w:hAnsi="Garamond"/>
                <w:sz w:val="24"/>
                <w:szCs w:val="24"/>
              </w:rPr>
              <w:t>.</w:t>
            </w:r>
            <w:r w:rsidR="00453E24">
              <w:rPr>
                <w:rFonts w:ascii="Garamond" w:hAnsi="Garamond"/>
                <w:sz w:val="24"/>
                <w:szCs w:val="24"/>
              </w:rPr>
              <w:t xml:space="preserve"> </w:t>
            </w:r>
            <w:r w:rsidR="00C448D3">
              <w:rPr>
                <w:rFonts w:ascii="Garamond" w:hAnsi="Garamond"/>
                <w:sz w:val="24"/>
                <w:szCs w:val="24"/>
              </w:rPr>
              <w:t xml:space="preserve"> </w:t>
            </w:r>
            <w:r w:rsidR="00453E24">
              <w:rPr>
                <w:rFonts w:ascii="Garamond" w:hAnsi="Garamond"/>
                <w:sz w:val="24"/>
                <w:szCs w:val="24"/>
              </w:rPr>
              <w:t>За пример, с</w:t>
            </w:r>
            <w:r w:rsidR="00453E24">
              <w:rPr>
                <w:rFonts w:ascii="Garamond" w:hAnsi="Garamond"/>
                <w:sz w:val="24"/>
                <w:szCs w:val="24"/>
              </w:rPr>
              <w:t xml:space="preserve">ъбираемостта </w:t>
            </w:r>
            <w:r w:rsidR="00453E24">
              <w:rPr>
                <w:rFonts w:ascii="Garamond" w:hAnsi="Garamond"/>
                <w:sz w:val="24"/>
                <w:szCs w:val="24"/>
              </w:rPr>
              <w:t>от</w:t>
            </w:r>
            <w:r w:rsidR="00453E24">
              <w:rPr>
                <w:rFonts w:ascii="Garamond" w:hAnsi="Garamond"/>
                <w:sz w:val="24"/>
                <w:szCs w:val="24"/>
              </w:rPr>
              <w:t xml:space="preserve"> </w:t>
            </w:r>
            <w:r w:rsidR="00453E24">
              <w:rPr>
                <w:rFonts w:ascii="Garamond" w:hAnsi="Garamond"/>
                <w:sz w:val="24"/>
                <w:szCs w:val="24"/>
              </w:rPr>
              <w:t>ДНИ на територията на с. Муселиево</w:t>
            </w:r>
            <w:r w:rsidR="00453E24">
              <w:rPr>
                <w:rFonts w:ascii="Garamond" w:hAnsi="Garamond"/>
                <w:sz w:val="24"/>
                <w:szCs w:val="24"/>
              </w:rPr>
              <w:t xml:space="preserve"> </w:t>
            </w:r>
            <w:r w:rsidR="00453E24">
              <w:rPr>
                <w:rFonts w:ascii="Garamond" w:hAnsi="Garamond"/>
                <w:sz w:val="24"/>
                <w:szCs w:val="24"/>
              </w:rPr>
              <w:t>е</w:t>
            </w:r>
            <w:r w:rsidR="00453E24">
              <w:rPr>
                <w:rFonts w:ascii="Garamond" w:hAnsi="Garamond"/>
                <w:sz w:val="24"/>
                <w:szCs w:val="24"/>
              </w:rPr>
              <w:t xml:space="preserve"> 95%</w:t>
            </w:r>
            <w:r w:rsidR="00453E24">
              <w:rPr>
                <w:rFonts w:ascii="Garamond" w:hAnsi="Garamond"/>
                <w:sz w:val="24"/>
                <w:szCs w:val="24"/>
              </w:rPr>
              <w:t xml:space="preserve"> спрямо облог</w:t>
            </w:r>
            <w:r w:rsidR="001D641B">
              <w:rPr>
                <w:rFonts w:ascii="Garamond" w:hAnsi="Garamond"/>
                <w:sz w:val="24"/>
                <w:szCs w:val="24"/>
              </w:rPr>
              <w:t>а. По мотивите за доходите на пенсионерите</w:t>
            </w:r>
            <w:r w:rsidR="00C448D3">
              <w:rPr>
                <w:rFonts w:ascii="Garamond" w:hAnsi="Garamond"/>
                <w:sz w:val="24"/>
                <w:szCs w:val="24"/>
              </w:rPr>
              <w:t xml:space="preserve">, </w:t>
            </w:r>
            <w:r w:rsidR="003E6B00">
              <w:rPr>
                <w:rFonts w:ascii="Garamond" w:hAnsi="Garamond"/>
                <w:sz w:val="24"/>
                <w:szCs w:val="24"/>
              </w:rPr>
              <w:t xml:space="preserve">по </w:t>
            </w:r>
            <w:r w:rsidR="00C448D3">
              <w:rPr>
                <w:rFonts w:ascii="Garamond" w:hAnsi="Garamond"/>
                <w:sz w:val="24"/>
                <w:szCs w:val="24"/>
              </w:rPr>
              <w:t xml:space="preserve">данни на НСИ само 45% </w:t>
            </w:r>
            <w:r w:rsidR="00694A92">
              <w:rPr>
                <w:rFonts w:ascii="Garamond" w:hAnsi="Garamond"/>
                <w:sz w:val="24"/>
                <w:szCs w:val="24"/>
              </w:rPr>
              <w:t xml:space="preserve">от </w:t>
            </w:r>
            <w:r w:rsidR="001D641B">
              <w:rPr>
                <w:rFonts w:ascii="Garamond" w:hAnsi="Garamond"/>
                <w:sz w:val="24"/>
                <w:szCs w:val="24"/>
              </w:rPr>
              <w:t>тях</w:t>
            </w:r>
            <w:r w:rsidR="00694A92">
              <w:rPr>
                <w:rFonts w:ascii="Garamond" w:hAnsi="Garamond"/>
                <w:sz w:val="24"/>
                <w:szCs w:val="24"/>
              </w:rPr>
              <w:t xml:space="preserve"> получават минимална пенсия. </w:t>
            </w:r>
            <w:r w:rsidR="001D641B">
              <w:rPr>
                <w:rFonts w:ascii="Garamond" w:hAnsi="Garamond"/>
                <w:sz w:val="24"/>
                <w:szCs w:val="24"/>
              </w:rPr>
              <w:t>За сведение, п</w:t>
            </w:r>
            <w:r w:rsidR="00BC1ED7">
              <w:rPr>
                <w:rFonts w:ascii="Garamond" w:hAnsi="Garamond"/>
                <w:sz w:val="24"/>
                <w:szCs w:val="24"/>
              </w:rPr>
              <w:t xml:space="preserve">рез 2017 г., когато са утвърдени действащите данъчни ставки, минимална пенсия за страната е била само 180 лв., спрямо 580 лв. от 01.01.2024 г., съгласно проекта на </w:t>
            </w:r>
            <w:r w:rsidR="00BC1ED7" w:rsidRPr="00BC1ED7">
              <w:rPr>
                <w:rFonts w:ascii="Garamond" w:hAnsi="Garamond"/>
                <w:sz w:val="24"/>
                <w:szCs w:val="24"/>
              </w:rPr>
              <w:t>бюдже</w:t>
            </w:r>
            <w:r w:rsidR="00BC1ED7">
              <w:rPr>
                <w:rFonts w:ascii="Garamond" w:hAnsi="Garamond"/>
                <w:sz w:val="24"/>
                <w:szCs w:val="24"/>
              </w:rPr>
              <w:t>т</w:t>
            </w:r>
            <w:r w:rsidR="00BC1ED7" w:rsidRPr="00BC1ED7">
              <w:rPr>
                <w:rFonts w:ascii="Garamond" w:hAnsi="Garamond"/>
                <w:sz w:val="24"/>
                <w:szCs w:val="24"/>
              </w:rPr>
              <w:t xml:space="preserve"> на държавното обществено осигуряване</w:t>
            </w:r>
            <w:r w:rsidR="00BC1ED7">
              <w:rPr>
                <w:rFonts w:ascii="Garamond" w:hAnsi="Garamond"/>
                <w:sz w:val="24"/>
                <w:szCs w:val="24"/>
              </w:rPr>
              <w:t>, утвърден от надзорния съвет на НОИ.</w:t>
            </w:r>
            <w:r w:rsidR="001D641B">
              <w:rPr>
                <w:rFonts w:ascii="Garamond" w:hAnsi="Garamond"/>
                <w:sz w:val="24"/>
                <w:szCs w:val="24"/>
              </w:rPr>
              <w:t xml:space="preserve"> Накрая, промените в данъчните ставки се </w:t>
            </w:r>
            <w:r w:rsidR="001D641B" w:rsidRPr="001D641B">
              <w:rPr>
                <w:rFonts w:ascii="Garamond" w:hAnsi="Garamond"/>
                <w:sz w:val="24"/>
                <w:szCs w:val="24"/>
              </w:rPr>
              <w:t xml:space="preserve">налагат не </w:t>
            </w:r>
            <w:r w:rsidR="001D641B" w:rsidRPr="001D641B">
              <w:rPr>
                <w:rFonts w:ascii="Garamond" w:hAnsi="Garamond"/>
                <w:sz w:val="24"/>
                <w:szCs w:val="24"/>
              </w:rPr>
              <w:lastRenderedPageBreak/>
              <w:t>толкова като необходимост за набиране на по-голям ресурс, а като актуализация на приходите съобразена с инфлационните процеси</w:t>
            </w:r>
            <w:r w:rsidR="001D641B">
              <w:rPr>
                <w:rFonts w:ascii="Garamond" w:hAnsi="Garamond"/>
                <w:sz w:val="24"/>
                <w:szCs w:val="24"/>
              </w:rPr>
              <w:t xml:space="preserve"> през годините</w:t>
            </w:r>
            <w:r w:rsidR="001D641B" w:rsidRPr="001D641B">
              <w:rPr>
                <w:rFonts w:ascii="Garamond" w:hAnsi="Garamond"/>
                <w:sz w:val="24"/>
                <w:szCs w:val="24"/>
              </w:rPr>
              <w:t xml:space="preserve"> в страната дотолкова, че минимума от досега изпълняваните дейности и ангажименти да могат да се финансират в една достатъчна степен.</w:t>
            </w:r>
          </w:p>
          <w:p w14:paraId="2B42838E" w14:textId="37D1BCAA" w:rsidR="00C448D3" w:rsidRDefault="00C448D3" w:rsidP="00700A17">
            <w:pPr>
              <w:spacing w:after="0" w:line="276" w:lineRule="auto"/>
              <w:jc w:val="both"/>
              <w:rPr>
                <w:rFonts w:ascii="Garamond" w:hAnsi="Garamond"/>
                <w:sz w:val="24"/>
                <w:szCs w:val="24"/>
              </w:rPr>
            </w:pPr>
          </w:p>
          <w:p w14:paraId="7C3E9A03" w14:textId="17AB917E" w:rsidR="001D329D" w:rsidRPr="00145D30" w:rsidRDefault="001D329D" w:rsidP="00F61D69">
            <w:pPr>
              <w:spacing w:after="0" w:line="276" w:lineRule="auto"/>
              <w:ind w:left="24"/>
              <w:jc w:val="both"/>
              <w:rPr>
                <w:rFonts w:ascii="Garamond" w:hAnsi="Garamond"/>
                <w:sz w:val="24"/>
                <w:szCs w:val="24"/>
              </w:rPr>
            </w:pPr>
          </w:p>
        </w:tc>
      </w:tr>
    </w:tbl>
    <w:p w14:paraId="3D3A27A6" w14:textId="77777777" w:rsidR="001D329D" w:rsidRPr="00145D30" w:rsidRDefault="00000000" w:rsidP="00145D30">
      <w:pPr>
        <w:spacing w:after="0" w:line="276" w:lineRule="auto"/>
        <w:jc w:val="both"/>
        <w:rPr>
          <w:rFonts w:ascii="Garamond" w:hAnsi="Garamond"/>
          <w:sz w:val="24"/>
          <w:szCs w:val="24"/>
        </w:rPr>
      </w:pPr>
      <w:r w:rsidRPr="00145D30">
        <w:rPr>
          <w:rFonts w:ascii="Garamond" w:eastAsia="Times New Roman" w:hAnsi="Garamond" w:cs="Times New Roman"/>
          <w:b/>
          <w:sz w:val="24"/>
          <w:szCs w:val="24"/>
        </w:rPr>
        <w:lastRenderedPageBreak/>
        <w:t xml:space="preserve"> </w:t>
      </w:r>
    </w:p>
    <w:p w14:paraId="23FA07E0" w14:textId="3C1DE32E" w:rsidR="00145D30" w:rsidRDefault="00000000" w:rsidP="00145D30">
      <w:pPr>
        <w:spacing w:after="0" w:line="276" w:lineRule="auto"/>
        <w:jc w:val="both"/>
        <w:rPr>
          <w:rFonts w:ascii="Garamond" w:eastAsia="Times New Roman" w:hAnsi="Garamond" w:cs="Times New Roman"/>
          <w:sz w:val="24"/>
          <w:szCs w:val="24"/>
        </w:rPr>
      </w:pPr>
      <w:r w:rsidRPr="00145D30">
        <w:rPr>
          <w:rFonts w:ascii="Garamond" w:eastAsia="Times New Roman" w:hAnsi="Garamond" w:cs="Times New Roman"/>
          <w:sz w:val="24"/>
          <w:szCs w:val="24"/>
        </w:rPr>
        <w:t xml:space="preserve">В изпълнение на чл. 26, ал. 2 от Закона за нормативните актове, проектът на </w:t>
      </w:r>
      <w:r w:rsidR="00145D30" w:rsidRPr="00145D30">
        <w:rPr>
          <w:rFonts w:ascii="Garamond" w:eastAsia="Times New Roman" w:hAnsi="Garamond" w:cs="Times New Roman"/>
          <w:sz w:val="24"/>
          <w:szCs w:val="24"/>
        </w:rPr>
        <w:t>Наредба за изменение на Наредба № 36 за определяне размера на местните данъци на територията на община Никопол, приета с Решение № 115/26.08.2020 г. на Общински съвет – Никопол</w:t>
      </w:r>
      <w:r w:rsidR="00145D30">
        <w:rPr>
          <w:rFonts w:ascii="Garamond" w:eastAsia="Times New Roman" w:hAnsi="Garamond" w:cs="Times New Roman"/>
          <w:sz w:val="24"/>
          <w:szCs w:val="24"/>
        </w:rPr>
        <w:t xml:space="preserve">, ведно с доклада на вносителя са публикувани на интернет страницата на Община Никопол </w:t>
      </w:r>
      <w:r w:rsidR="00145D30" w:rsidRPr="00145D30">
        <w:rPr>
          <w:rFonts w:ascii="Garamond" w:eastAsia="Times New Roman" w:hAnsi="Garamond" w:cs="Times New Roman"/>
          <w:sz w:val="24"/>
          <w:szCs w:val="24"/>
        </w:rPr>
        <w:t xml:space="preserve">Портала за обществени консултации </w:t>
      </w:r>
      <w:r w:rsidR="00145D30" w:rsidRPr="00145D30">
        <w:rPr>
          <w:rFonts w:ascii="Garamond" w:eastAsia="Times New Roman" w:hAnsi="Garamond" w:cs="Times New Roman"/>
          <w:b/>
          <w:sz w:val="24"/>
          <w:szCs w:val="24"/>
        </w:rPr>
        <w:t xml:space="preserve">(дата на откриване: </w:t>
      </w:r>
      <w:r w:rsidR="00145D30">
        <w:rPr>
          <w:rFonts w:ascii="Garamond" w:eastAsia="Times New Roman" w:hAnsi="Garamond" w:cs="Times New Roman"/>
          <w:b/>
          <w:sz w:val="24"/>
          <w:szCs w:val="24"/>
        </w:rPr>
        <w:t>05.12.2023</w:t>
      </w:r>
      <w:r w:rsidR="00145D30" w:rsidRPr="00145D30">
        <w:rPr>
          <w:rFonts w:ascii="Garamond" w:eastAsia="Times New Roman" w:hAnsi="Garamond" w:cs="Times New Roman"/>
          <w:b/>
          <w:sz w:val="24"/>
          <w:szCs w:val="24"/>
        </w:rPr>
        <w:t xml:space="preserve"> г. – дата на приключване: </w:t>
      </w:r>
      <w:r w:rsidR="00145D30">
        <w:rPr>
          <w:rFonts w:ascii="Garamond" w:eastAsia="Times New Roman" w:hAnsi="Garamond" w:cs="Times New Roman"/>
          <w:b/>
          <w:sz w:val="24"/>
          <w:szCs w:val="24"/>
        </w:rPr>
        <w:t>19.12.2023</w:t>
      </w:r>
      <w:r w:rsidR="00145D30" w:rsidRPr="00145D30">
        <w:rPr>
          <w:rFonts w:ascii="Garamond" w:eastAsia="Times New Roman" w:hAnsi="Garamond" w:cs="Times New Roman"/>
          <w:b/>
          <w:sz w:val="24"/>
          <w:szCs w:val="24"/>
        </w:rPr>
        <w:t xml:space="preserve"> г.)</w:t>
      </w:r>
      <w:r w:rsidR="00145D30" w:rsidRPr="00145D30">
        <w:rPr>
          <w:rFonts w:ascii="Garamond" w:eastAsia="Times New Roman" w:hAnsi="Garamond" w:cs="Times New Roman"/>
          <w:sz w:val="24"/>
          <w:szCs w:val="24"/>
        </w:rPr>
        <w:t xml:space="preserve"> </w:t>
      </w:r>
    </w:p>
    <w:p w14:paraId="0CEB4100" w14:textId="1FB73CEC" w:rsidR="00D60F49" w:rsidRPr="00145D30" w:rsidRDefault="00D60F49" w:rsidP="00145D30">
      <w:pPr>
        <w:spacing w:after="0" w:line="276" w:lineRule="auto"/>
        <w:jc w:val="both"/>
        <w:rPr>
          <w:rFonts w:ascii="Garamond" w:hAnsi="Garamond"/>
          <w:sz w:val="24"/>
          <w:szCs w:val="24"/>
        </w:rPr>
      </w:pPr>
    </w:p>
    <w:sectPr w:rsidR="00D60F49" w:rsidRPr="00145D30">
      <w:pgSz w:w="16838" w:h="11906" w:orient="landscape"/>
      <w:pgMar w:top="998" w:right="1135" w:bottom="1076"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C4AEA"/>
    <w:multiLevelType w:val="hybridMultilevel"/>
    <w:tmpl w:val="8022F768"/>
    <w:lvl w:ilvl="0" w:tplc="DD246ACE">
      <w:start w:val="1"/>
      <w:numFmt w:val="decimal"/>
      <w:lvlText w:val="%1."/>
      <w:lvlJc w:val="left"/>
      <w:pPr>
        <w:ind w:left="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722548">
      <w:start w:val="1"/>
      <w:numFmt w:val="lowerLetter"/>
      <w:lvlText w:val="%2"/>
      <w:lvlJc w:val="left"/>
      <w:pPr>
        <w:ind w:left="1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A5E9250">
      <w:start w:val="1"/>
      <w:numFmt w:val="lowerRoman"/>
      <w:lvlText w:val="%3"/>
      <w:lvlJc w:val="left"/>
      <w:pPr>
        <w:ind w:left="19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84396C">
      <w:start w:val="1"/>
      <w:numFmt w:val="decimal"/>
      <w:lvlText w:val="%4"/>
      <w:lvlJc w:val="left"/>
      <w:pPr>
        <w:ind w:left="26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6684FD2">
      <w:start w:val="1"/>
      <w:numFmt w:val="lowerLetter"/>
      <w:lvlText w:val="%5"/>
      <w:lvlJc w:val="left"/>
      <w:pPr>
        <w:ind w:left="3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37C3352">
      <w:start w:val="1"/>
      <w:numFmt w:val="lowerRoman"/>
      <w:lvlText w:val="%6"/>
      <w:lvlJc w:val="left"/>
      <w:pPr>
        <w:ind w:left="4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B08236">
      <w:start w:val="1"/>
      <w:numFmt w:val="decimal"/>
      <w:lvlText w:val="%7"/>
      <w:lvlJc w:val="left"/>
      <w:pPr>
        <w:ind w:left="4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0EA0912">
      <w:start w:val="1"/>
      <w:numFmt w:val="lowerLetter"/>
      <w:lvlText w:val="%8"/>
      <w:lvlJc w:val="left"/>
      <w:pPr>
        <w:ind w:left="5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81ADE50">
      <w:start w:val="1"/>
      <w:numFmt w:val="lowerRoman"/>
      <w:lvlText w:val="%9"/>
      <w:lvlJc w:val="left"/>
      <w:pPr>
        <w:ind w:left="6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75366B"/>
    <w:multiLevelType w:val="hybridMultilevel"/>
    <w:tmpl w:val="EB36F996"/>
    <w:lvl w:ilvl="0" w:tplc="AB0C54BC">
      <w:start w:val="1"/>
      <w:numFmt w:val="decimal"/>
      <w:lvlText w:val="%1."/>
      <w:lvlJc w:val="left"/>
      <w:pPr>
        <w:ind w:left="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3B4E99E">
      <w:start w:val="1"/>
      <w:numFmt w:val="lowerLetter"/>
      <w:lvlText w:val="%2"/>
      <w:lvlJc w:val="left"/>
      <w:pPr>
        <w:ind w:left="11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780F7CC">
      <w:start w:val="1"/>
      <w:numFmt w:val="lowerRoman"/>
      <w:lvlText w:val="%3"/>
      <w:lvlJc w:val="left"/>
      <w:pPr>
        <w:ind w:left="19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E5CCC66">
      <w:start w:val="1"/>
      <w:numFmt w:val="decimal"/>
      <w:lvlText w:val="%4"/>
      <w:lvlJc w:val="left"/>
      <w:pPr>
        <w:ind w:left="26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1F8CDDA">
      <w:start w:val="1"/>
      <w:numFmt w:val="lowerLetter"/>
      <w:lvlText w:val="%5"/>
      <w:lvlJc w:val="left"/>
      <w:pPr>
        <w:ind w:left="33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BAD1D4">
      <w:start w:val="1"/>
      <w:numFmt w:val="lowerRoman"/>
      <w:lvlText w:val="%6"/>
      <w:lvlJc w:val="left"/>
      <w:pPr>
        <w:ind w:left="40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B58FEC4">
      <w:start w:val="1"/>
      <w:numFmt w:val="decimal"/>
      <w:lvlText w:val="%7"/>
      <w:lvlJc w:val="left"/>
      <w:pPr>
        <w:ind w:left="4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652F312">
      <w:start w:val="1"/>
      <w:numFmt w:val="lowerLetter"/>
      <w:lvlText w:val="%8"/>
      <w:lvlJc w:val="left"/>
      <w:pPr>
        <w:ind w:left="5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43AF8FA">
      <w:start w:val="1"/>
      <w:numFmt w:val="lowerRoman"/>
      <w:lvlText w:val="%9"/>
      <w:lvlJc w:val="left"/>
      <w:pPr>
        <w:ind w:left="6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16cid:durableId="507985519">
    <w:abstractNumId w:val="0"/>
  </w:num>
  <w:num w:numId="2" w16cid:durableId="215632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29D"/>
    <w:rsid w:val="00003024"/>
    <w:rsid w:val="00145D30"/>
    <w:rsid w:val="001D329D"/>
    <w:rsid w:val="001D641B"/>
    <w:rsid w:val="00263880"/>
    <w:rsid w:val="003E6B00"/>
    <w:rsid w:val="00453E24"/>
    <w:rsid w:val="00694A92"/>
    <w:rsid w:val="006F1FDE"/>
    <w:rsid w:val="00700A17"/>
    <w:rsid w:val="00A56A7F"/>
    <w:rsid w:val="00BC1ED7"/>
    <w:rsid w:val="00C448D3"/>
    <w:rsid w:val="00D60F49"/>
    <w:rsid w:val="00F61D69"/>
    <w:rsid w:val="00F64CE6"/>
    <w:rsid w:val="00FD0C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5112"/>
  <w15:docId w15:val="{1F27D2A8-9EFC-4AEA-BC3F-9FD5366C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bg-BG" w:eastAsia="bg-BG"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145D30"/>
    <w:rPr>
      <w:color w:val="0563C1" w:themeColor="hyperlink"/>
      <w:u w:val="single"/>
    </w:rPr>
  </w:style>
  <w:style w:type="character" w:styleId="a4">
    <w:name w:val="Unresolved Mention"/>
    <w:basedOn w:val="a0"/>
    <w:uiPriority w:val="99"/>
    <w:semiHidden/>
    <w:unhideWhenUsed/>
    <w:rsid w:val="00145D30"/>
    <w:rPr>
      <w:color w:val="605E5C"/>
      <w:shd w:val="clear" w:color="auto" w:fill="E1DFDD"/>
    </w:rPr>
  </w:style>
  <w:style w:type="character" w:styleId="a5">
    <w:name w:val="FollowedHyperlink"/>
    <w:basedOn w:val="a0"/>
    <w:uiPriority w:val="99"/>
    <w:semiHidden/>
    <w:unhideWhenUsed/>
    <w:rsid w:val="00145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274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rategy.bg/PublicConsultations/View.aspx?@lang=bg-BG&amp;Id=80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849</Words>
  <Characters>4845</Characters>
  <Application>Microsoft Office Word</Application>
  <DocSecurity>0</DocSecurity>
  <Lines>40</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IGyulyanliev</dc:creator>
  <cp:keywords/>
  <cp:lastModifiedBy>IGyulyanliev</cp:lastModifiedBy>
  <cp:revision>5</cp:revision>
  <cp:lastPrinted>2023-12-20T07:49:00Z</cp:lastPrinted>
  <dcterms:created xsi:type="dcterms:W3CDTF">2023-12-19T12:54:00Z</dcterms:created>
  <dcterms:modified xsi:type="dcterms:W3CDTF">2023-12-20T07:57:00Z</dcterms:modified>
</cp:coreProperties>
</file>