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BA" w:rsidRPr="00F35966" w:rsidRDefault="004165BA" w:rsidP="00CA3798">
      <w:pPr>
        <w:pStyle w:val="Header"/>
        <w:jc w:val="center"/>
        <w:rPr>
          <w:b/>
          <w:b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ri loga" style="position:absolute;left:0;text-align:left;margin-left:9.4pt;margin-top:0;width:424.5pt;height:45.75pt;z-index:251658240;visibility:visible;mso-position-vertical:top">
            <v:imagedata r:id="rId7" o:title=""/>
            <w10:wrap type="square"/>
          </v:shape>
        </w:pict>
      </w:r>
      <w:r w:rsidRPr="00F35966">
        <w:rPr>
          <w:b/>
          <w:bCs/>
          <w:sz w:val="18"/>
          <w:szCs w:val="18"/>
        </w:rPr>
        <w:t>Проект № А12-22-100/ 16.11.2012 г.</w:t>
      </w:r>
    </w:p>
    <w:p w:rsidR="004165BA" w:rsidRPr="00F35966" w:rsidRDefault="004165BA" w:rsidP="00CA3798">
      <w:pPr>
        <w:pStyle w:val="Header"/>
        <w:jc w:val="center"/>
        <w:rPr>
          <w:b/>
          <w:bCs/>
          <w:sz w:val="18"/>
          <w:szCs w:val="18"/>
          <w:lang w:val="en-US"/>
        </w:rPr>
      </w:pPr>
      <w:r w:rsidRPr="00F35966">
        <w:rPr>
          <w:b/>
          <w:bCs/>
          <w:sz w:val="18"/>
          <w:szCs w:val="18"/>
        </w:rPr>
        <w:t>„Усъвършенстване и укрепване на административния капацитет на община Никопол”</w:t>
      </w:r>
    </w:p>
    <w:p w:rsidR="004165BA" w:rsidRPr="00625C6D" w:rsidRDefault="004165BA" w:rsidP="00625C6D">
      <w:pPr>
        <w:tabs>
          <w:tab w:val="left" w:pos="1605"/>
        </w:tabs>
        <w:jc w:val="center"/>
        <w:rPr>
          <w:rFonts w:ascii="Times New Roman" w:hAnsi="Times New Roman" w:cs="Times New Roman"/>
          <w:b/>
          <w:bCs/>
          <w:sz w:val="18"/>
          <w:szCs w:val="18"/>
          <w:lang w:val="en-US"/>
        </w:rPr>
      </w:pPr>
      <w:r w:rsidRPr="00F35966">
        <w:rPr>
          <w:rFonts w:ascii="Times New Roman" w:hAnsi="Times New Roman" w:cs="Times New Roman"/>
          <w:b/>
          <w:bCs/>
          <w:sz w:val="18"/>
          <w:szCs w:val="18"/>
        </w:rPr>
        <w:t>Договор № А12-22-100/25.04.2013 г.</w:t>
      </w:r>
    </w:p>
    <w:p w:rsidR="004165BA" w:rsidRPr="00D51C29" w:rsidRDefault="004165BA" w:rsidP="00D31791">
      <w:pPr>
        <w:pStyle w:val="Header"/>
        <w:jc w:val="both"/>
        <w:rPr>
          <w:sz w:val="22"/>
          <w:szCs w:val="22"/>
        </w:rPr>
      </w:pPr>
      <w:r w:rsidRPr="00D51C29">
        <w:rPr>
          <w:sz w:val="22"/>
          <w:szCs w:val="22"/>
        </w:rPr>
        <w:t>На 27.06.2013 год. в заседателната зала на Общинска администрация - Никопол се проведе пресконференция по повод стартиране изпълнението на проект</w:t>
      </w:r>
      <w:r w:rsidRPr="00D51C29">
        <w:rPr>
          <w:b/>
          <w:bCs/>
          <w:sz w:val="22"/>
          <w:szCs w:val="22"/>
        </w:rPr>
        <w:t xml:space="preserve"> </w:t>
      </w:r>
      <w:r w:rsidRPr="00D51C29">
        <w:rPr>
          <w:sz w:val="22"/>
          <w:szCs w:val="22"/>
        </w:rPr>
        <w:t>„Усъвършенстване и укрепване на административния капацитет на община Никопол „,</w:t>
      </w:r>
      <w:r w:rsidRPr="00D51C29">
        <w:rPr>
          <w:b/>
          <w:bCs/>
          <w:sz w:val="22"/>
          <w:szCs w:val="22"/>
        </w:rPr>
        <w:t xml:space="preserve"> </w:t>
      </w:r>
      <w:r w:rsidRPr="00D51C29">
        <w:rPr>
          <w:sz w:val="22"/>
          <w:szCs w:val="22"/>
        </w:rPr>
        <w:t>Договор № А12-22-100/25.04.2013 г. Бенифициент по проекта е  Община Никопол. Проектът се финансира със средства от  Оперативна програма „Административен капацитет”, Приоритетна ос II “Управление на човешките ресурси”, Подприоритет 2.2,</w:t>
      </w:r>
    </w:p>
    <w:p w:rsidR="004165BA" w:rsidRPr="00D51C29" w:rsidRDefault="004165BA" w:rsidP="00D31791">
      <w:pPr>
        <w:pStyle w:val="Header"/>
        <w:jc w:val="both"/>
        <w:rPr>
          <w:sz w:val="22"/>
          <w:szCs w:val="22"/>
        </w:rPr>
      </w:pPr>
      <w:r w:rsidRPr="00D51C29">
        <w:rPr>
          <w:sz w:val="22"/>
          <w:szCs w:val="22"/>
        </w:rPr>
        <w:t>„ Компетентна и ефективна държавна администрация „, съфинансирана от Европейския съюз, чрез Европейския социален фонд. Общата стойност на проекта възлиза на 73 307, 20 лв. , а продължителността на изпълнение е 12 месеца.</w:t>
      </w:r>
    </w:p>
    <w:p w:rsidR="004165BA" w:rsidRPr="00D51C29" w:rsidRDefault="004165BA" w:rsidP="00D31791">
      <w:pPr>
        <w:spacing w:after="0"/>
        <w:jc w:val="both"/>
        <w:rPr>
          <w:rFonts w:ascii="Times New Roman" w:hAnsi="Times New Roman" w:cs="Times New Roman"/>
        </w:rPr>
      </w:pPr>
      <w:r w:rsidRPr="00D51C29">
        <w:rPr>
          <w:rFonts w:ascii="Times New Roman" w:hAnsi="Times New Roman" w:cs="Times New Roman"/>
        </w:rPr>
        <w:t>В своето слово, Емил Бебенов – кмет на Община Никопол подчерта, ролята на ОП”Административен капацитет” за реализирането на проекта, както и значението му за повишаване  квалификацията на служителитe в администрацията,</w:t>
      </w:r>
      <w:r w:rsidRPr="00D51C29">
        <w:rPr>
          <w:rFonts w:ascii="Times New Roman" w:hAnsi="Times New Roman" w:cs="Times New Roman"/>
          <w:color w:val="000000"/>
        </w:rPr>
        <w:t xml:space="preserve"> </w:t>
      </w:r>
      <w:r w:rsidRPr="00D51C29">
        <w:rPr>
          <w:rFonts w:ascii="Times New Roman" w:hAnsi="Times New Roman" w:cs="Times New Roman"/>
        </w:rPr>
        <w:t>поради което приноса на проекта се оценява като изключителен. Целите, дейностите и очакваните резултати представи Ферузан Атилова – ръководител на екипа за управление на проекта.</w:t>
      </w:r>
    </w:p>
    <w:p w:rsidR="004165BA" w:rsidRPr="00D51C29" w:rsidRDefault="004165BA" w:rsidP="000D0742">
      <w:pPr>
        <w:spacing w:after="0"/>
        <w:jc w:val="both"/>
        <w:rPr>
          <w:rFonts w:ascii="Times New Roman" w:hAnsi="Times New Roman" w:cs="Times New Roman"/>
        </w:rPr>
      </w:pPr>
      <w:r w:rsidRPr="00D51C29">
        <w:rPr>
          <w:rFonts w:ascii="Times New Roman" w:hAnsi="Times New Roman" w:cs="Times New Roman"/>
        </w:rPr>
        <w:t xml:space="preserve"> Обща цел на проекта е Усъвършенстване и укрепване на административния капацитет, чрез повишаване компетентността и ефективността на общинската администрация.</w:t>
      </w:r>
    </w:p>
    <w:p w:rsidR="004165BA" w:rsidRPr="00D51C29" w:rsidRDefault="004165BA" w:rsidP="000D0742">
      <w:pPr>
        <w:spacing w:after="0"/>
        <w:jc w:val="both"/>
        <w:rPr>
          <w:rFonts w:ascii="Times New Roman" w:hAnsi="Times New Roman" w:cs="Times New Roman"/>
        </w:rPr>
      </w:pPr>
      <w:r w:rsidRPr="00D51C29">
        <w:rPr>
          <w:rFonts w:ascii="Times New Roman" w:hAnsi="Times New Roman" w:cs="Times New Roman"/>
        </w:rPr>
        <w:t xml:space="preserve">Специфични цели : </w:t>
      </w:r>
    </w:p>
    <w:p w:rsidR="004165BA" w:rsidRPr="00D51C29" w:rsidRDefault="004165BA" w:rsidP="000D0742">
      <w:pPr>
        <w:spacing w:before="120" w:after="0" w:line="240" w:lineRule="auto"/>
        <w:jc w:val="both"/>
        <w:rPr>
          <w:rFonts w:ascii="Times New Roman" w:hAnsi="Times New Roman" w:cs="Times New Roman"/>
        </w:rPr>
      </w:pPr>
      <w:r w:rsidRPr="00D51C29">
        <w:rPr>
          <w:rFonts w:ascii="Times New Roman" w:hAnsi="Times New Roman" w:cs="Times New Roman"/>
        </w:rPr>
        <w:t>1.      Повишаване на професионалната компетентност на експертните и ръководни служители, в областта на е-правителство, работа с електронни таблици, професионална етика и сътрудничество с граждански и бизнес организации.</w:t>
      </w:r>
    </w:p>
    <w:p w:rsidR="004165BA" w:rsidRPr="00D51C29" w:rsidRDefault="004165BA" w:rsidP="000D0742">
      <w:pPr>
        <w:spacing w:before="120" w:after="0" w:line="240" w:lineRule="auto"/>
        <w:jc w:val="both"/>
        <w:rPr>
          <w:rFonts w:ascii="Times New Roman" w:hAnsi="Times New Roman" w:cs="Times New Roman"/>
        </w:rPr>
      </w:pPr>
      <w:r w:rsidRPr="00D51C29">
        <w:rPr>
          <w:rFonts w:ascii="Times New Roman" w:hAnsi="Times New Roman" w:cs="Times New Roman"/>
        </w:rPr>
        <w:t>2.    Подобряване на вътрешната комуникация, междугруповите отношения и повишаване екипната ефективност.</w:t>
      </w:r>
    </w:p>
    <w:p w:rsidR="004165BA" w:rsidRPr="00D51C29" w:rsidRDefault="004165BA" w:rsidP="000D0742">
      <w:pPr>
        <w:spacing w:before="120" w:after="0" w:line="240" w:lineRule="auto"/>
        <w:jc w:val="both"/>
        <w:rPr>
          <w:rFonts w:ascii="Times New Roman" w:hAnsi="Times New Roman" w:cs="Times New Roman"/>
        </w:rPr>
      </w:pPr>
      <w:r w:rsidRPr="00D51C29">
        <w:rPr>
          <w:rFonts w:ascii="Times New Roman" w:hAnsi="Times New Roman" w:cs="Times New Roman"/>
        </w:rPr>
        <w:t>3.       Надграждане на придобитите</w:t>
      </w:r>
      <w:r w:rsidRPr="00D51C29">
        <w:rPr>
          <w:rFonts w:ascii="Times New Roman" w:hAnsi="Times New Roman" w:cs="Times New Roman"/>
          <w:lang w:val="ru-RU"/>
        </w:rPr>
        <w:t xml:space="preserve"> професионални умения и знания</w:t>
      </w:r>
      <w:r w:rsidRPr="00D51C29">
        <w:rPr>
          <w:rFonts w:ascii="Times New Roman" w:hAnsi="Times New Roman" w:cs="Times New Roman"/>
        </w:rPr>
        <w:t xml:space="preserve"> за работа с деца и   </w:t>
      </w:r>
    </w:p>
    <w:p w:rsidR="004165BA" w:rsidRPr="00D51C29" w:rsidRDefault="004165BA" w:rsidP="000D0742">
      <w:pPr>
        <w:spacing w:after="0"/>
        <w:jc w:val="both"/>
        <w:rPr>
          <w:rFonts w:ascii="Times New Roman" w:hAnsi="Times New Roman" w:cs="Times New Roman"/>
        </w:rPr>
      </w:pPr>
      <w:r w:rsidRPr="00D51C29">
        <w:rPr>
          <w:rFonts w:ascii="Times New Roman" w:hAnsi="Times New Roman" w:cs="Times New Roman"/>
        </w:rPr>
        <w:t>семейства в уязвими общости.</w:t>
      </w:r>
    </w:p>
    <w:p w:rsidR="004165BA" w:rsidRPr="00D51C29" w:rsidRDefault="004165BA" w:rsidP="00703FFB">
      <w:pPr>
        <w:spacing w:before="120" w:after="120"/>
        <w:rPr>
          <w:rFonts w:ascii="Times New Roman" w:hAnsi="Times New Roman" w:cs="Times New Roman"/>
        </w:rPr>
      </w:pPr>
      <w:r w:rsidRPr="00D51C29">
        <w:rPr>
          <w:rFonts w:ascii="Times New Roman" w:hAnsi="Times New Roman" w:cs="Times New Roman"/>
        </w:rPr>
        <w:t xml:space="preserve">Основни  дейности: </w:t>
      </w:r>
    </w:p>
    <w:p w:rsidR="004165BA" w:rsidRPr="00D51C29" w:rsidRDefault="004165BA" w:rsidP="00703FFB">
      <w:pPr>
        <w:spacing w:after="0"/>
        <w:ind w:left="-288"/>
        <w:rPr>
          <w:rFonts w:ascii="Times New Roman" w:hAnsi="Times New Roman" w:cs="Times New Roman"/>
        </w:rPr>
      </w:pPr>
      <w:r>
        <w:rPr>
          <w:rFonts w:ascii="Times New Roman" w:hAnsi="Times New Roman" w:cs="Times New Roman"/>
        </w:rPr>
        <w:t xml:space="preserve">    </w:t>
      </w:r>
      <w:r w:rsidRPr="00D51C29">
        <w:rPr>
          <w:rFonts w:ascii="Times New Roman" w:hAnsi="Times New Roman" w:cs="Times New Roman"/>
        </w:rPr>
        <w:t>Дейност 1. Управление на проекта и тръжни процедури;</w:t>
      </w:r>
    </w:p>
    <w:p w:rsidR="004165BA" w:rsidRPr="00D51C29" w:rsidRDefault="004165BA" w:rsidP="00703FFB">
      <w:pPr>
        <w:spacing w:after="0"/>
        <w:ind w:left="-288"/>
        <w:rPr>
          <w:rFonts w:ascii="Times New Roman" w:hAnsi="Times New Roman" w:cs="Times New Roman"/>
        </w:rPr>
      </w:pPr>
      <w:r>
        <w:rPr>
          <w:rFonts w:ascii="Times New Roman" w:hAnsi="Times New Roman" w:cs="Times New Roman"/>
        </w:rPr>
        <w:t xml:space="preserve">    </w:t>
      </w:r>
      <w:r w:rsidRPr="00D51C29">
        <w:rPr>
          <w:rFonts w:ascii="Times New Roman" w:hAnsi="Times New Roman" w:cs="Times New Roman"/>
        </w:rPr>
        <w:t>Дейност 2. Обучения;</w:t>
      </w:r>
    </w:p>
    <w:p w:rsidR="004165BA" w:rsidRPr="00D51C29" w:rsidRDefault="004165BA" w:rsidP="00703FFB">
      <w:pPr>
        <w:spacing w:after="0"/>
        <w:ind w:left="-144"/>
        <w:rPr>
          <w:rFonts w:ascii="Times New Roman" w:hAnsi="Times New Roman" w:cs="Times New Roman"/>
        </w:rPr>
      </w:pPr>
      <w:r w:rsidRPr="00D51C29">
        <w:rPr>
          <w:rFonts w:ascii="Times New Roman" w:hAnsi="Times New Roman" w:cs="Times New Roman"/>
        </w:rPr>
        <w:t>Поддейност 2.1. Обучения, проведени от Институт по публична администрация</w:t>
      </w:r>
    </w:p>
    <w:p w:rsidR="004165BA" w:rsidRPr="00D51C29" w:rsidRDefault="004165BA" w:rsidP="00703FFB">
      <w:pPr>
        <w:spacing w:after="0"/>
        <w:ind w:left="-144"/>
        <w:rPr>
          <w:rFonts w:ascii="Times New Roman" w:hAnsi="Times New Roman" w:cs="Times New Roman"/>
        </w:rPr>
      </w:pPr>
      <w:r w:rsidRPr="00D51C29">
        <w:rPr>
          <w:rFonts w:ascii="Times New Roman" w:hAnsi="Times New Roman" w:cs="Times New Roman"/>
        </w:rPr>
        <w:t>Поддейност 2.2. Обучения, проведени от изпълнител, избран чрез процедура по ЗОП.</w:t>
      </w:r>
    </w:p>
    <w:p w:rsidR="004165BA" w:rsidRPr="00D51C29" w:rsidRDefault="004165BA" w:rsidP="00703FFB">
      <w:pPr>
        <w:spacing w:after="0"/>
        <w:ind w:left="-144"/>
        <w:jc w:val="both"/>
        <w:rPr>
          <w:rFonts w:ascii="Times New Roman" w:hAnsi="Times New Roman" w:cs="Times New Roman"/>
        </w:rPr>
      </w:pPr>
      <w:r w:rsidRPr="00D51C29">
        <w:rPr>
          <w:rFonts w:ascii="Times New Roman" w:hAnsi="Times New Roman" w:cs="Times New Roman"/>
        </w:rPr>
        <w:t>Дейност 3. Информация и публичност</w:t>
      </w:r>
    </w:p>
    <w:p w:rsidR="004165BA" w:rsidRPr="00D51C29" w:rsidRDefault="004165BA" w:rsidP="00703FFB">
      <w:pPr>
        <w:spacing w:after="0"/>
        <w:jc w:val="both"/>
        <w:rPr>
          <w:rFonts w:ascii="Times New Roman" w:hAnsi="Times New Roman" w:cs="Times New Roman"/>
        </w:rPr>
      </w:pPr>
      <w:r w:rsidRPr="00D51C29">
        <w:rPr>
          <w:rFonts w:ascii="Times New Roman" w:hAnsi="Times New Roman" w:cs="Times New Roman"/>
        </w:rPr>
        <w:t>Целева група : Общинска администрация Никопол, в това число и кметове, зам.кметове и кметски наместници.</w:t>
      </w:r>
    </w:p>
    <w:p w:rsidR="004165BA" w:rsidRPr="00D51C29" w:rsidRDefault="004165BA" w:rsidP="000D0742">
      <w:pPr>
        <w:autoSpaceDE w:val="0"/>
        <w:autoSpaceDN w:val="0"/>
        <w:adjustRightInd w:val="0"/>
        <w:spacing w:after="0"/>
        <w:jc w:val="both"/>
        <w:rPr>
          <w:rFonts w:ascii="Times New Roman" w:hAnsi="Times New Roman" w:cs="Times New Roman"/>
        </w:rPr>
      </w:pPr>
      <w:r w:rsidRPr="00D51C29">
        <w:rPr>
          <w:rFonts w:ascii="Times New Roman" w:hAnsi="Times New Roman" w:cs="Times New Roman"/>
        </w:rPr>
        <w:t>Очаквани резултати:</w:t>
      </w:r>
    </w:p>
    <w:p w:rsidR="004165BA" w:rsidRPr="00D51C29" w:rsidRDefault="004165BA" w:rsidP="000D0742">
      <w:pPr>
        <w:numPr>
          <w:ilvl w:val="0"/>
          <w:numId w:val="2"/>
        </w:numPr>
        <w:spacing w:after="0" w:line="240" w:lineRule="auto"/>
        <w:ind w:left="0"/>
        <w:jc w:val="both"/>
        <w:rPr>
          <w:rFonts w:ascii="Times New Roman" w:hAnsi="Times New Roman" w:cs="Times New Roman"/>
        </w:rPr>
      </w:pPr>
      <w:r w:rsidRPr="00D51C29">
        <w:rPr>
          <w:rFonts w:ascii="Times New Roman" w:hAnsi="Times New Roman" w:cs="Times New Roman"/>
        </w:rPr>
        <w:t>Постигнат синергитизъм (групова сплотеност);</w:t>
      </w:r>
    </w:p>
    <w:p w:rsidR="004165BA" w:rsidRPr="00D51C29" w:rsidRDefault="004165BA" w:rsidP="000D0742">
      <w:pPr>
        <w:numPr>
          <w:ilvl w:val="0"/>
          <w:numId w:val="2"/>
        </w:numPr>
        <w:spacing w:after="0" w:line="240" w:lineRule="auto"/>
        <w:ind w:left="0"/>
        <w:jc w:val="both"/>
        <w:rPr>
          <w:rFonts w:ascii="Times New Roman" w:hAnsi="Times New Roman" w:cs="Times New Roman"/>
        </w:rPr>
      </w:pPr>
      <w:r w:rsidRPr="00D51C29">
        <w:rPr>
          <w:rFonts w:ascii="Times New Roman" w:hAnsi="Times New Roman" w:cs="Times New Roman"/>
        </w:rPr>
        <w:t>Подобрена вътрешна комуникация;</w:t>
      </w:r>
    </w:p>
    <w:p w:rsidR="004165BA" w:rsidRPr="00D51C29" w:rsidRDefault="004165BA" w:rsidP="000D0742">
      <w:pPr>
        <w:numPr>
          <w:ilvl w:val="0"/>
          <w:numId w:val="2"/>
        </w:numPr>
        <w:spacing w:after="0" w:line="240" w:lineRule="auto"/>
        <w:ind w:left="0"/>
        <w:jc w:val="both"/>
        <w:rPr>
          <w:rFonts w:ascii="Times New Roman" w:hAnsi="Times New Roman" w:cs="Times New Roman"/>
        </w:rPr>
      </w:pPr>
      <w:r w:rsidRPr="00D51C29">
        <w:rPr>
          <w:rFonts w:ascii="Times New Roman" w:hAnsi="Times New Roman" w:cs="Times New Roman"/>
        </w:rPr>
        <w:t>Усвоени знания и умения за идентифициране и разрешаване на възникнали етични конфликти и дилеми при изпълняване на служебните и извънслужебни задължения.</w:t>
      </w:r>
    </w:p>
    <w:p w:rsidR="004165BA" w:rsidRPr="00D51C29" w:rsidRDefault="004165BA" w:rsidP="000D0742">
      <w:pPr>
        <w:numPr>
          <w:ilvl w:val="0"/>
          <w:numId w:val="2"/>
        </w:numPr>
        <w:spacing w:after="0" w:line="240" w:lineRule="auto"/>
        <w:ind w:left="0"/>
        <w:jc w:val="both"/>
        <w:rPr>
          <w:rFonts w:ascii="Times New Roman" w:hAnsi="Times New Roman" w:cs="Times New Roman"/>
        </w:rPr>
      </w:pPr>
      <w:r w:rsidRPr="00D51C29">
        <w:rPr>
          <w:rFonts w:ascii="Times New Roman" w:hAnsi="Times New Roman" w:cs="Times New Roman"/>
        </w:rPr>
        <w:t>Повишена ефективност при работата с родители и семейства от уязвими общности.</w:t>
      </w:r>
    </w:p>
    <w:p w:rsidR="004165BA" w:rsidRPr="00D51C29" w:rsidRDefault="004165BA" w:rsidP="000D0742">
      <w:pPr>
        <w:numPr>
          <w:ilvl w:val="0"/>
          <w:numId w:val="2"/>
        </w:numPr>
        <w:spacing w:after="0" w:line="240" w:lineRule="auto"/>
        <w:ind w:left="0"/>
        <w:jc w:val="both"/>
        <w:rPr>
          <w:rFonts w:ascii="Times New Roman" w:hAnsi="Times New Roman" w:cs="Times New Roman"/>
        </w:rPr>
      </w:pPr>
      <w:r w:rsidRPr="00D51C29">
        <w:rPr>
          <w:rFonts w:ascii="Times New Roman" w:hAnsi="Times New Roman" w:cs="Times New Roman"/>
        </w:rPr>
        <w:t>Придобити знания за работа на администрацията, базирани на използване на информационните технологии.</w:t>
      </w:r>
    </w:p>
    <w:p w:rsidR="004165BA" w:rsidRPr="00D51C29" w:rsidRDefault="004165BA" w:rsidP="000D0742">
      <w:pPr>
        <w:numPr>
          <w:ilvl w:val="0"/>
          <w:numId w:val="2"/>
        </w:numPr>
        <w:spacing w:after="0" w:line="240" w:lineRule="auto"/>
        <w:ind w:left="0"/>
        <w:jc w:val="both"/>
        <w:rPr>
          <w:rFonts w:ascii="Times New Roman" w:hAnsi="Times New Roman" w:cs="Times New Roman"/>
        </w:rPr>
      </w:pPr>
      <w:r w:rsidRPr="00D51C29">
        <w:rPr>
          <w:rFonts w:ascii="Times New Roman" w:hAnsi="Times New Roman" w:cs="Times New Roman"/>
        </w:rPr>
        <w:t>Повишена компетентност при социална работа с деца и семейства от уязвими групи.</w:t>
      </w:r>
    </w:p>
    <w:p w:rsidR="004165BA" w:rsidRPr="00D51C29" w:rsidRDefault="004165BA" w:rsidP="000D0742">
      <w:pPr>
        <w:numPr>
          <w:ilvl w:val="0"/>
          <w:numId w:val="2"/>
        </w:numPr>
        <w:spacing w:after="0" w:line="240" w:lineRule="auto"/>
        <w:ind w:left="0"/>
        <w:jc w:val="both"/>
        <w:rPr>
          <w:rFonts w:ascii="Times New Roman" w:hAnsi="Times New Roman" w:cs="Times New Roman"/>
        </w:rPr>
      </w:pPr>
      <w:r w:rsidRPr="00D51C29">
        <w:rPr>
          <w:rFonts w:ascii="Times New Roman" w:hAnsi="Times New Roman" w:cs="Times New Roman"/>
        </w:rPr>
        <w:t xml:space="preserve">Усвоени умения за работа с </w:t>
      </w:r>
      <w:r w:rsidRPr="00D51C29">
        <w:rPr>
          <w:rFonts w:ascii="Times New Roman" w:hAnsi="Times New Roman" w:cs="Times New Roman"/>
          <w:lang w:val="en-US"/>
        </w:rPr>
        <w:t>Excel</w:t>
      </w:r>
    </w:p>
    <w:p w:rsidR="004165BA" w:rsidRPr="00D51C29" w:rsidRDefault="004165BA" w:rsidP="000D0742">
      <w:pPr>
        <w:spacing w:after="0" w:line="240" w:lineRule="auto"/>
        <w:jc w:val="both"/>
        <w:rPr>
          <w:rFonts w:ascii="Times New Roman" w:hAnsi="Times New Roman" w:cs="Times New Roman"/>
        </w:rPr>
      </w:pPr>
      <w:r w:rsidRPr="00D51C29">
        <w:rPr>
          <w:rFonts w:ascii="Times New Roman" w:hAnsi="Times New Roman" w:cs="Times New Roman"/>
        </w:rPr>
        <w:t xml:space="preserve">  Количествен израз на резултатите :</w:t>
      </w:r>
    </w:p>
    <w:p w:rsidR="004165BA" w:rsidRPr="00D51C29" w:rsidRDefault="004165BA" w:rsidP="000D0742">
      <w:pPr>
        <w:numPr>
          <w:ilvl w:val="0"/>
          <w:numId w:val="3"/>
        </w:numPr>
        <w:spacing w:after="0" w:line="240" w:lineRule="auto"/>
        <w:ind w:left="0"/>
        <w:jc w:val="both"/>
        <w:rPr>
          <w:rFonts w:ascii="Times New Roman" w:hAnsi="Times New Roman" w:cs="Times New Roman"/>
          <w:lang w:val="ru-RU"/>
        </w:rPr>
      </w:pPr>
      <w:r w:rsidRPr="00D51C29">
        <w:rPr>
          <w:rFonts w:ascii="Times New Roman" w:hAnsi="Times New Roman" w:cs="Times New Roman"/>
        </w:rPr>
        <w:t>Проведени 8 обучения от Институт по публична администрация, избрани от Каталог 2013 и съответния брой включени лица:</w:t>
      </w:r>
    </w:p>
    <w:p w:rsidR="004165BA" w:rsidRPr="00D51C29" w:rsidRDefault="004165BA" w:rsidP="000D0742">
      <w:pPr>
        <w:numPr>
          <w:ilvl w:val="0"/>
          <w:numId w:val="3"/>
        </w:numPr>
        <w:spacing w:after="0" w:line="240" w:lineRule="auto"/>
        <w:ind w:left="0"/>
        <w:jc w:val="both"/>
        <w:rPr>
          <w:rFonts w:ascii="Times New Roman" w:hAnsi="Times New Roman" w:cs="Times New Roman"/>
          <w:lang w:val="ru-RU"/>
        </w:rPr>
      </w:pPr>
      <w:r w:rsidRPr="00D51C29">
        <w:rPr>
          <w:rFonts w:ascii="Times New Roman" w:hAnsi="Times New Roman" w:cs="Times New Roman"/>
        </w:rPr>
        <w:t xml:space="preserve">Проведени </w:t>
      </w:r>
      <w:r w:rsidRPr="00D51C29">
        <w:rPr>
          <w:rFonts w:ascii="Times New Roman" w:hAnsi="Times New Roman" w:cs="Times New Roman"/>
          <w:lang w:val="ru-RU"/>
        </w:rPr>
        <w:t>2</w:t>
      </w:r>
      <w:r w:rsidRPr="00D51C29">
        <w:rPr>
          <w:rFonts w:ascii="Times New Roman" w:hAnsi="Times New Roman" w:cs="Times New Roman"/>
        </w:rPr>
        <w:t xml:space="preserve"> обучения от външен изпълнител</w:t>
      </w:r>
    </w:p>
    <w:p w:rsidR="004165BA" w:rsidRPr="00D51C29" w:rsidRDefault="004165BA" w:rsidP="000D0742">
      <w:pPr>
        <w:spacing w:after="0"/>
        <w:jc w:val="both"/>
        <w:rPr>
          <w:rFonts w:ascii="Times New Roman" w:hAnsi="Times New Roman" w:cs="Times New Roman"/>
          <w:color w:val="000000"/>
        </w:rPr>
      </w:pPr>
      <w:r w:rsidRPr="00D51C29">
        <w:rPr>
          <w:rFonts w:ascii="Times New Roman" w:hAnsi="Times New Roman" w:cs="Times New Roman"/>
          <w:lang w:val="ru-RU"/>
        </w:rPr>
        <w:t>1</w:t>
      </w:r>
      <w:r w:rsidRPr="00D51C29">
        <w:rPr>
          <w:rFonts w:ascii="Times New Roman" w:hAnsi="Times New Roman" w:cs="Times New Roman"/>
        </w:rPr>
        <w:t>. Р</w:t>
      </w:r>
      <w:r w:rsidRPr="00D51C29">
        <w:rPr>
          <w:rFonts w:ascii="Times New Roman" w:hAnsi="Times New Roman" w:cs="Times New Roman"/>
          <w:color w:val="000000"/>
        </w:rPr>
        <w:t>абота с деца и семейства в уязвими общности ;</w:t>
      </w:r>
    </w:p>
    <w:p w:rsidR="004165BA" w:rsidRPr="00D51C29" w:rsidRDefault="004165BA" w:rsidP="000D0742">
      <w:pPr>
        <w:spacing w:after="0"/>
        <w:jc w:val="both"/>
        <w:rPr>
          <w:rFonts w:ascii="Times New Roman" w:hAnsi="Times New Roman" w:cs="Times New Roman"/>
          <w:color w:val="000000"/>
        </w:rPr>
      </w:pPr>
      <w:r w:rsidRPr="00D51C29">
        <w:rPr>
          <w:rFonts w:ascii="Times New Roman" w:hAnsi="Times New Roman" w:cs="Times New Roman"/>
          <w:color w:val="000000"/>
          <w:lang w:val="ru-RU"/>
        </w:rPr>
        <w:t>2</w:t>
      </w:r>
      <w:r w:rsidRPr="00D51C29">
        <w:rPr>
          <w:rFonts w:ascii="Times New Roman" w:hAnsi="Times New Roman" w:cs="Times New Roman"/>
          <w:color w:val="000000"/>
        </w:rPr>
        <w:t>. Екипна ефективност .</w:t>
      </w:r>
    </w:p>
    <w:p w:rsidR="004165BA" w:rsidRPr="00D51C29" w:rsidRDefault="004165BA" w:rsidP="000D0742">
      <w:pPr>
        <w:spacing w:after="0"/>
        <w:jc w:val="both"/>
        <w:rPr>
          <w:rFonts w:ascii="Times New Roman" w:hAnsi="Times New Roman" w:cs="Times New Roman"/>
          <w:color w:val="000000"/>
          <w:lang w:val="en-US"/>
        </w:rPr>
      </w:pPr>
      <w:r w:rsidRPr="00D51C29">
        <w:rPr>
          <w:rFonts w:ascii="Times New Roman" w:hAnsi="Times New Roman" w:cs="Times New Roman"/>
          <w:color w:val="000000"/>
        </w:rPr>
        <w:t>3</w:t>
      </w:r>
      <w:r w:rsidRPr="00D51C29">
        <w:rPr>
          <w:rFonts w:ascii="Times New Roman" w:hAnsi="Times New Roman" w:cs="Times New Roman"/>
          <w:color w:val="000000"/>
          <w:lang w:val="en-US"/>
        </w:rPr>
        <w:t xml:space="preserve">)   </w:t>
      </w:r>
      <w:r w:rsidRPr="00D51C29">
        <w:rPr>
          <w:rFonts w:ascii="Times New Roman" w:hAnsi="Times New Roman" w:cs="Times New Roman"/>
          <w:color w:val="000000"/>
        </w:rPr>
        <w:t>Обучени 241 броя служители (един служител е включен в минимум две обучения), в това число:</w:t>
      </w:r>
    </w:p>
    <w:p w:rsidR="004165BA" w:rsidRPr="00D51C29" w:rsidRDefault="004165BA" w:rsidP="000D0742">
      <w:pPr>
        <w:spacing w:after="0"/>
        <w:jc w:val="both"/>
        <w:rPr>
          <w:rFonts w:ascii="Times New Roman" w:hAnsi="Times New Roman" w:cs="Times New Roman"/>
          <w:color w:val="000000"/>
          <w:lang w:val="en-US"/>
        </w:rPr>
      </w:pPr>
      <w:r w:rsidRPr="00D51C29">
        <w:rPr>
          <w:rFonts w:ascii="Times New Roman" w:hAnsi="Times New Roman" w:cs="Times New Roman"/>
          <w:color w:val="000000"/>
        </w:rPr>
        <w:t>4) 97,</w:t>
      </w:r>
      <w:r w:rsidRPr="00D51C29">
        <w:rPr>
          <w:rFonts w:ascii="Times New Roman" w:hAnsi="Times New Roman" w:cs="Times New Roman"/>
          <w:color w:val="000000"/>
          <w:lang w:val="en-US"/>
        </w:rPr>
        <w:t>5</w:t>
      </w:r>
      <w:r w:rsidRPr="00D51C29">
        <w:rPr>
          <w:rFonts w:ascii="Times New Roman" w:hAnsi="Times New Roman" w:cs="Times New Roman"/>
          <w:color w:val="000000"/>
        </w:rPr>
        <w:t xml:space="preserve"> % успешно преминали обучението</w:t>
      </w:r>
    </w:p>
    <w:p w:rsidR="004165BA" w:rsidRPr="00D51C29" w:rsidRDefault="004165BA" w:rsidP="000D0742">
      <w:pPr>
        <w:spacing w:after="0"/>
        <w:jc w:val="both"/>
        <w:rPr>
          <w:rFonts w:ascii="Times New Roman" w:hAnsi="Times New Roman" w:cs="Times New Roman"/>
          <w:color w:val="000000"/>
          <w:lang w:val="en-US"/>
        </w:rPr>
      </w:pPr>
      <w:r w:rsidRPr="00D51C29">
        <w:rPr>
          <w:rFonts w:ascii="Times New Roman" w:hAnsi="Times New Roman" w:cs="Times New Roman"/>
          <w:color w:val="000000"/>
        </w:rPr>
        <w:t>5) 235 броя придобити сертификата / удостоверения</w:t>
      </w:r>
    </w:p>
    <w:p w:rsidR="004165BA" w:rsidRPr="00D51C29" w:rsidRDefault="004165BA" w:rsidP="000D0742">
      <w:pPr>
        <w:spacing w:after="0"/>
        <w:jc w:val="both"/>
        <w:rPr>
          <w:rFonts w:ascii="Times New Roman" w:hAnsi="Times New Roman" w:cs="Times New Roman"/>
          <w:color w:val="000000"/>
          <w:lang w:val="en-US"/>
        </w:rPr>
      </w:pPr>
      <w:r w:rsidRPr="00D51C29">
        <w:rPr>
          <w:rFonts w:ascii="Times New Roman" w:hAnsi="Times New Roman" w:cs="Times New Roman"/>
          <w:color w:val="000000"/>
        </w:rPr>
        <w:t>6) Обучени 142 броя жени</w:t>
      </w:r>
    </w:p>
    <w:p w:rsidR="004165BA" w:rsidRPr="00D51C29" w:rsidRDefault="004165BA" w:rsidP="000D0742">
      <w:pPr>
        <w:spacing w:after="0"/>
        <w:jc w:val="both"/>
        <w:rPr>
          <w:rFonts w:ascii="Times New Roman" w:hAnsi="Times New Roman" w:cs="Times New Roman"/>
          <w:color w:val="000000"/>
        </w:rPr>
      </w:pPr>
      <w:r w:rsidRPr="00D51C29">
        <w:rPr>
          <w:rFonts w:ascii="Times New Roman" w:hAnsi="Times New Roman" w:cs="Times New Roman"/>
          <w:color w:val="000000"/>
        </w:rPr>
        <w:t>7) Осигурена публичност по проекта</w:t>
      </w:r>
    </w:p>
    <w:p w:rsidR="004165BA" w:rsidRPr="00D31791" w:rsidRDefault="004165BA" w:rsidP="000D0742">
      <w:pPr>
        <w:spacing w:after="0"/>
        <w:jc w:val="both"/>
        <w:rPr>
          <w:color w:val="000000"/>
        </w:rPr>
      </w:pPr>
    </w:p>
    <w:p w:rsidR="004165BA" w:rsidRDefault="004165BA" w:rsidP="000D0742">
      <w:pPr>
        <w:pStyle w:val="Header"/>
        <w:jc w:val="center"/>
      </w:pPr>
      <w:r w:rsidRPr="00B07437">
        <w:rPr>
          <w:b/>
          <w:bCs/>
          <w:sz w:val="18"/>
          <w:szCs w:val="18"/>
        </w:rPr>
        <w:t>Проектът се осъществява с финансовата подкрепа на Оперативна програма „</w:t>
      </w:r>
      <w:r>
        <w:rPr>
          <w:b/>
          <w:bCs/>
          <w:sz w:val="18"/>
          <w:szCs w:val="18"/>
        </w:rPr>
        <w:t>А</w:t>
      </w:r>
      <w:r w:rsidRPr="00B07437">
        <w:rPr>
          <w:b/>
          <w:bCs/>
          <w:sz w:val="18"/>
          <w:szCs w:val="18"/>
        </w:rPr>
        <w:t>дминистративен капацитет”, съфинансирана от Европейския съюз, чрез Европейския социален фонд</w:t>
      </w:r>
    </w:p>
    <w:p w:rsidR="004165BA" w:rsidRDefault="004165BA" w:rsidP="000D0742">
      <w:pPr>
        <w:spacing w:after="0"/>
        <w:ind w:right="-144"/>
        <w:jc w:val="both"/>
        <w:rPr>
          <w:rFonts w:ascii="Times New Roman" w:hAnsi="Times New Roman" w:cs="Times New Roman"/>
          <w:i/>
          <w:iCs/>
          <w:sz w:val="20"/>
          <w:szCs w:val="20"/>
          <w:lang w:val="en-US"/>
        </w:rPr>
      </w:pPr>
    </w:p>
    <w:p w:rsidR="004165BA" w:rsidRDefault="004165BA" w:rsidP="000D0742">
      <w:pPr>
        <w:spacing w:after="0"/>
        <w:ind w:right="-144"/>
        <w:jc w:val="both"/>
        <w:rPr>
          <w:rFonts w:ascii="Times New Roman" w:hAnsi="Times New Roman" w:cs="Times New Roman"/>
          <w:i/>
          <w:iCs/>
          <w:sz w:val="20"/>
          <w:szCs w:val="20"/>
          <w:lang w:val="en-US"/>
        </w:rPr>
      </w:pPr>
    </w:p>
    <w:p w:rsidR="004165BA" w:rsidRDefault="004165BA" w:rsidP="000D0742">
      <w:pPr>
        <w:spacing w:after="0"/>
        <w:ind w:right="-144"/>
        <w:jc w:val="both"/>
        <w:rPr>
          <w:rFonts w:ascii="Times New Roman" w:hAnsi="Times New Roman" w:cs="Times New Roman"/>
          <w:i/>
          <w:iCs/>
          <w:sz w:val="20"/>
          <w:szCs w:val="20"/>
          <w:lang w:val="en-US"/>
        </w:rPr>
      </w:pPr>
    </w:p>
    <w:p w:rsidR="004165BA" w:rsidRDefault="004165BA" w:rsidP="000D0742">
      <w:pPr>
        <w:spacing w:after="0"/>
        <w:ind w:right="-144"/>
        <w:jc w:val="both"/>
        <w:rPr>
          <w:rFonts w:ascii="Times New Roman" w:hAnsi="Times New Roman" w:cs="Times New Roman"/>
          <w:i/>
          <w:iCs/>
          <w:sz w:val="20"/>
          <w:szCs w:val="20"/>
          <w:lang w:val="en-US"/>
        </w:rPr>
      </w:pPr>
      <w:r w:rsidRPr="002754F0">
        <w:rPr>
          <w:rFonts w:ascii="Times New Roman" w:hAnsi="Times New Roman" w:cs="Times New Roman"/>
          <w:i/>
          <w:iCs/>
          <w:sz w:val="20"/>
          <w:szCs w:val="20"/>
          <w:lang w:val="en-US"/>
        </w:rPr>
        <w:pict>
          <v:shape id="_x0000_i1025" type="#_x0000_t75" style="width:450pt;height:337.5pt">
            <v:imagedata r:id="rId8" o:title=""/>
          </v:shape>
        </w:pict>
      </w:r>
    </w:p>
    <w:p w:rsidR="004165BA" w:rsidRDefault="004165BA" w:rsidP="000D0742">
      <w:pPr>
        <w:spacing w:after="0"/>
        <w:ind w:right="-144"/>
        <w:jc w:val="both"/>
        <w:rPr>
          <w:rFonts w:ascii="Times New Roman" w:hAnsi="Times New Roman" w:cs="Times New Roman"/>
          <w:i/>
          <w:iCs/>
          <w:sz w:val="20"/>
          <w:szCs w:val="20"/>
          <w:lang w:val="en-US"/>
        </w:rPr>
      </w:pPr>
    </w:p>
    <w:p w:rsidR="004165BA" w:rsidRDefault="004165BA" w:rsidP="000D0742">
      <w:pPr>
        <w:spacing w:after="0"/>
        <w:ind w:right="-144"/>
        <w:jc w:val="both"/>
        <w:rPr>
          <w:rFonts w:ascii="Times New Roman" w:hAnsi="Times New Roman" w:cs="Times New Roman"/>
          <w:i/>
          <w:iCs/>
          <w:sz w:val="20"/>
          <w:szCs w:val="20"/>
          <w:lang w:val="en-US"/>
        </w:rPr>
      </w:pPr>
    </w:p>
    <w:p w:rsidR="004165BA" w:rsidRPr="002754F0" w:rsidRDefault="004165BA" w:rsidP="000D0742">
      <w:pPr>
        <w:spacing w:after="0"/>
        <w:ind w:right="-144"/>
        <w:jc w:val="both"/>
        <w:rPr>
          <w:rFonts w:ascii="Times New Roman" w:hAnsi="Times New Roman" w:cs="Times New Roman"/>
          <w:i/>
          <w:iCs/>
          <w:sz w:val="20"/>
          <w:szCs w:val="20"/>
          <w:lang w:val="en-US"/>
        </w:rPr>
      </w:pPr>
      <w:r w:rsidRPr="002754F0">
        <w:rPr>
          <w:rFonts w:ascii="Times New Roman" w:hAnsi="Times New Roman" w:cs="Times New Roman"/>
          <w:i/>
          <w:iCs/>
          <w:sz w:val="20"/>
          <w:szCs w:val="20"/>
          <w:lang w:val="en-US"/>
        </w:rPr>
        <w:pict>
          <v:shape id="_x0000_i1026" type="#_x0000_t75" style="width:450pt;height:332.25pt">
            <v:imagedata r:id="rId9" o:title=""/>
          </v:shape>
        </w:pict>
      </w:r>
    </w:p>
    <w:sectPr w:rsidR="004165BA" w:rsidRPr="002754F0" w:rsidSect="004977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5BA" w:rsidRDefault="004165BA" w:rsidP="00077368">
      <w:pPr>
        <w:spacing w:after="0" w:line="240" w:lineRule="auto"/>
      </w:pPr>
      <w:r>
        <w:separator/>
      </w:r>
    </w:p>
  </w:endnote>
  <w:endnote w:type="continuationSeparator" w:id="1">
    <w:p w:rsidR="004165BA" w:rsidRDefault="004165BA" w:rsidP="00077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5BA" w:rsidRDefault="004165BA" w:rsidP="00077368">
      <w:pPr>
        <w:spacing w:after="0" w:line="240" w:lineRule="auto"/>
      </w:pPr>
      <w:r>
        <w:separator/>
      </w:r>
    </w:p>
  </w:footnote>
  <w:footnote w:type="continuationSeparator" w:id="1">
    <w:p w:rsidR="004165BA" w:rsidRDefault="004165BA" w:rsidP="000773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4B35"/>
    <w:multiLevelType w:val="hybridMultilevel"/>
    <w:tmpl w:val="D02E23B8"/>
    <w:lvl w:ilvl="0" w:tplc="26CA8B4E">
      <w:start w:val="1"/>
      <w:numFmt w:val="decimal"/>
      <w:lvlText w:val="%1)"/>
      <w:lvlJc w:val="left"/>
      <w:pPr>
        <w:tabs>
          <w:tab w:val="num" w:pos="735"/>
        </w:tabs>
        <w:ind w:left="735" w:hanging="375"/>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3FC95110"/>
    <w:multiLevelType w:val="hybridMultilevel"/>
    <w:tmpl w:val="34642F56"/>
    <w:lvl w:ilvl="0" w:tplc="69F42F28">
      <w:start w:val="1"/>
      <w:numFmt w:val="decimal"/>
      <w:lvlText w:val="%1."/>
      <w:lvlJc w:val="left"/>
      <w:pPr>
        <w:tabs>
          <w:tab w:val="num" w:pos="720"/>
        </w:tabs>
        <w:ind w:left="720" w:hanging="360"/>
      </w:pPr>
    </w:lvl>
    <w:lvl w:ilvl="1" w:tplc="9FA4D14A">
      <w:numFmt w:val="none"/>
      <w:lvlText w:val=""/>
      <w:lvlJc w:val="left"/>
      <w:pPr>
        <w:tabs>
          <w:tab w:val="num" w:pos="360"/>
        </w:tabs>
      </w:pPr>
    </w:lvl>
    <w:lvl w:ilvl="2" w:tplc="BEDCAB88">
      <w:numFmt w:val="none"/>
      <w:lvlText w:val=""/>
      <w:lvlJc w:val="left"/>
      <w:pPr>
        <w:tabs>
          <w:tab w:val="num" w:pos="360"/>
        </w:tabs>
      </w:pPr>
    </w:lvl>
    <w:lvl w:ilvl="3" w:tplc="FF1462D4">
      <w:numFmt w:val="none"/>
      <w:lvlText w:val=""/>
      <w:lvlJc w:val="left"/>
      <w:pPr>
        <w:tabs>
          <w:tab w:val="num" w:pos="360"/>
        </w:tabs>
      </w:pPr>
    </w:lvl>
    <w:lvl w:ilvl="4" w:tplc="F348D1BC">
      <w:numFmt w:val="none"/>
      <w:lvlText w:val=""/>
      <w:lvlJc w:val="left"/>
      <w:pPr>
        <w:tabs>
          <w:tab w:val="num" w:pos="360"/>
        </w:tabs>
      </w:pPr>
    </w:lvl>
    <w:lvl w:ilvl="5" w:tplc="A1F49938">
      <w:numFmt w:val="none"/>
      <w:lvlText w:val=""/>
      <w:lvlJc w:val="left"/>
      <w:pPr>
        <w:tabs>
          <w:tab w:val="num" w:pos="360"/>
        </w:tabs>
      </w:pPr>
    </w:lvl>
    <w:lvl w:ilvl="6" w:tplc="A9FEEDD4">
      <w:numFmt w:val="none"/>
      <w:lvlText w:val=""/>
      <w:lvlJc w:val="left"/>
      <w:pPr>
        <w:tabs>
          <w:tab w:val="num" w:pos="360"/>
        </w:tabs>
      </w:pPr>
    </w:lvl>
    <w:lvl w:ilvl="7" w:tplc="7FEE3CD2">
      <w:numFmt w:val="none"/>
      <w:lvlText w:val=""/>
      <w:lvlJc w:val="left"/>
      <w:pPr>
        <w:tabs>
          <w:tab w:val="num" w:pos="360"/>
        </w:tabs>
      </w:pPr>
    </w:lvl>
    <w:lvl w:ilvl="8" w:tplc="A7A03D14">
      <w:numFmt w:val="none"/>
      <w:lvlText w:val=""/>
      <w:lvlJc w:val="left"/>
      <w:pPr>
        <w:tabs>
          <w:tab w:val="num" w:pos="360"/>
        </w:tabs>
      </w:pPr>
    </w:lvl>
  </w:abstractNum>
  <w:abstractNum w:abstractNumId="2">
    <w:nsid w:val="7B5E07CE"/>
    <w:multiLevelType w:val="hybridMultilevel"/>
    <w:tmpl w:val="A19ED1D4"/>
    <w:lvl w:ilvl="0" w:tplc="615C60C2">
      <w:start w:val="1"/>
      <w:numFmt w:val="decimal"/>
      <w:lvlText w:val="%1."/>
      <w:lvlJc w:val="left"/>
      <w:pPr>
        <w:tabs>
          <w:tab w:val="num" w:pos="360"/>
        </w:tabs>
        <w:ind w:left="360" w:hanging="360"/>
      </w:pPr>
      <w:rPr>
        <w:sz w:val="24"/>
        <w:szCs w:val="24"/>
      </w:r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798"/>
    <w:rsid w:val="00077368"/>
    <w:rsid w:val="000D0742"/>
    <w:rsid w:val="00114C28"/>
    <w:rsid w:val="00211F0B"/>
    <w:rsid w:val="00227885"/>
    <w:rsid w:val="00270BEF"/>
    <w:rsid w:val="002754F0"/>
    <w:rsid w:val="00284C81"/>
    <w:rsid w:val="00313CAE"/>
    <w:rsid w:val="004165BA"/>
    <w:rsid w:val="0044331A"/>
    <w:rsid w:val="00497786"/>
    <w:rsid w:val="005E4C9B"/>
    <w:rsid w:val="005F1351"/>
    <w:rsid w:val="006110CB"/>
    <w:rsid w:val="00625C6D"/>
    <w:rsid w:val="00631812"/>
    <w:rsid w:val="00647B75"/>
    <w:rsid w:val="00703FFB"/>
    <w:rsid w:val="00A63446"/>
    <w:rsid w:val="00A71E4F"/>
    <w:rsid w:val="00AE3482"/>
    <w:rsid w:val="00B07437"/>
    <w:rsid w:val="00C46E3A"/>
    <w:rsid w:val="00CA3798"/>
    <w:rsid w:val="00D31791"/>
    <w:rsid w:val="00D51C29"/>
    <w:rsid w:val="00D57F32"/>
    <w:rsid w:val="00DF6B5E"/>
    <w:rsid w:val="00E27FC1"/>
    <w:rsid w:val="00F35966"/>
    <w:rsid w:val="00F8467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9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379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locked/>
    <w:rsid w:val="00CA3798"/>
    <w:rPr>
      <w:rFonts w:ascii="Times New Roman" w:hAnsi="Times New Roman" w:cs="Times New Roman"/>
      <w:sz w:val="24"/>
      <w:szCs w:val="24"/>
      <w:lang w:eastAsia="bg-BG"/>
    </w:rPr>
  </w:style>
  <w:style w:type="paragraph" w:styleId="Footer">
    <w:name w:val="footer"/>
    <w:basedOn w:val="Normal"/>
    <w:link w:val="FooterChar"/>
    <w:uiPriority w:val="99"/>
    <w:semiHidden/>
    <w:rsid w:val="000773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77368"/>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Normal"/>
    <w:uiPriority w:val="99"/>
    <w:rsid w:val="00703FFB"/>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3</Pages>
  <Words>519</Words>
  <Characters>2962</Characters>
  <Application>Microsoft Office Outlook</Application>
  <DocSecurity>0</DocSecurity>
  <Lines>0</Lines>
  <Paragraphs>0</Paragraphs>
  <ScaleCrop>false</ScaleCrop>
  <Company>Obshtina Nikopol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 Dimitrova</dc:creator>
  <cp:keywords/>
  <dc:description/>
  <cp:lastModifiedBy>a.aleksandrov</cp:lastModifiedBy>
  <cp:revision>8</cp:revision>
  <dcterms:created xsi:type="dcterms:W3CDTF">2013-06-27T06:30:00Z</dcterms:created>
  <dcterms:modified xsi:type="dcterms:W3CDTF">2013-06-28T15:48:00Z</dcterms:modified>
</cp:coreProperties>
</file>