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9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5"/>
      </w:tblGrid>
      <w:tr w:rsidR="00066FDB" w14:paraId="7B9999F7" w14:textId="77777777" w:rsidTr="003970C6">
        <w:trPr>
          <w:trHeight w:val="8221"/>
        </w:trPr>
        <w:tc>
          <w:tcPr>
            <w:tcW w:w="8595" w:type="dxa"/>
          </w:tcPr>
          <w:p w14:paraId="66ACC16E" w14:textId="77777777" w:rsidR="00066FDB" w:rsidRDefault="00066FDB" w:rsidP="003970C6">
            <w:bookmarkStart w:id="0" w:name="_Hlk135730641"/>
            <w:r>
              <w:t xml:space="preserve">                   </w:t>
            </w:r>
          </w:p>
          <w:p w14:paraId="17CC8D27" w14:textId="77777777" w:rsidR="00066FDB" w:rsidRDefault="00066FDB" w:rsidP="003970C6">
            <w:r>
              <w:t xml:space="preserve">                                </w:t>
            </w:r>
            <w:r w:rsidRPr="00066FDB">
              <w:rPr>
                <w:noProof/>
                <w:u w:val="single"/>
              </w:rPr>
              <w:drawing>
                <wp:inline distT="0" distB="0" distL="0" distR="0" wp14:anchorId="0B619255" wp14:editId="7D947D64">
                  <wp:extent cx="1724025" cy="371475"/>
                  <wp:effectExtent l="0" t="0" r="9525" b="9525"/>
                  <wp:docPr id="34797769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977691" name="Картина 34797769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9BAD0D" w14:textId="77777777" w:rsidR="00066FDB" w:rsidRDefault="00066FDB" w:rsidP="003970C6">
            <w:pPr>
              <w:rPr>
                <w:u w:val="single"/>
              </w:rPr>
            </w:pPr>
          </w:p>
          <w:p w14:paraId="13EA7A1C" w14:textId="77777777" w:rsidR="00066FDB" w:rsidRDefault="00066FDB" w:rsidP="003970C6">
            <w:pPr>
              <w:rPr>
                <w:u w:val="single"/>
              </w:rPr>
            </w:pPr>
          </w:p>
          <w:p w14:paraId="526B5B47" w14:textId="5979C7A8" w:rsidR="00066FDB" w:rsidRPr="00066FDB" w:rsidRDefault="00066FDB" w:rsidP="007A5090">
            <w:pPr>
              <w:jc w:val="center"/>
              <w:rPr>
                <w:u w:val="single"/>
              </w:rPr>
            </w:pPr>
            <w:r w:rsidRPr="00066FDB">
              <w:rPr>
                <w:sz w:val="24"/>
                <w:szCs w:val="24"/>
                <w:u w:val="single"/>
              </w:rPr>
              <w:br/>
            </w:r>
            <w:r w:rsidRPr="003970C6">
              <w:rPr>
                <w:rFonts w:ascii="Bahnschrift SemiCondensed" w:hAnsi="Bahnschrift SemiCondensed"/>
                <w:sz w:val="28"/>
                <w:szCs w:val="28"/>
              </w:rPr>
              <w:t xml:space="preserve">   </w:t>
            </w:r>
            <w:r w:rsidR="007A5090">
              <w:rPr>
                <w:rFonts w:ascii="Bahnschrift SemiCondensed" w:hAnsi="Bahnschrift SemiCondensed"/>
                <w:sz w:val="28"/>
                <w:szCs w:val="28"/>
              </w:rPr>
              <w:t>„</w:t>
            </w:r>
            <w:r w:rsidRPr="006F1BE2">
              <w:rPr>
                <w:rFonts w:ascii="Bahnschrift SemiCondensed" w:hAnsi="Bahnschrift SemiCondensed"/>
                <w:b/>
                <w:bCs/>
                <w:sz w:val="32"/>
                <w:szCs w:val="32"/>
              </w:rPr>
              <w:t>НАЦИОНАЛЕН ПЛАН ЗА</w:t>
            </w:r>
            <w:r w:rsidRPr="006F1BE2">
              <w:rPr>
                <w:rFonts w:ascii="Bahnschrift SemiCondensed" w:hAnsi="Bahnschrift SemiCondensed"/>
                <w:b/>
                <w:bCs/>
                <w:sz w:val="32"/>
                <w:szCs w:val="32"/>
              </w:rPr>
              <w:br/>
              <w:t xml:space="preserve"> ВЪЗСТАНОВЯВАНЕ И </w:t>
            </w:r>
            <w:r w:rsidR="007A5090">
              <w:rPr>
                <w:rFonts w:ascii="Bahnschrift SemiCondensed" w:hAnsi="Bahnschrift SemiCondensed"/>
                <w:b/>
                <w:bCs/>
                <w:sz w:val="32"/>
                <w:szCs w:val="32"/>
              </w:rPr>
              <w:t>УСТОЙЧИВОСТ</w:t>
            </w:r>
            <w:r w:rsidRPr="006F1BE2">
              <w:rPr>
                <w:rFonts w:ascii="Bahnschrift SemiCondensed" w:hAnsi="Bahnschrift SemiCondensed"/>
                <w:b/>
                <w:bCs/>
                <w:sz w:val="32"/>
                <w:szCs w:val="32"/>
              </w:rPr>
              <w:t>“</w:t>
            </w:r>
            <w:r w:rsidRPr="006F1BE2">
              <w:rPr>
                <w:rFonts w:ascii="Bahnschrift SemiCondensed" w:hAnsi="Bahnschrift SemiCondensed"/>
                <w:b/>
                <w:bCs/>
                <w:sz w:val="32"/>
                <w:szCs w:val="32"/>
                <w:u w:val="single"/>
              </w:rPr>
              <w:br/>
            </w:r>
            <w:r w:rsidRPr="006F1BE2">
              <w:rPr>
                <w:b/>
                <w:bCs/>
                <w:sz w:val="32"/>
                <w:szCs w:val="32"/>
                <w:u w:val="single"/>
              </w:rPr>
              <w:br/>
            </w:r>
            <w:r w:rsidRPr="003970C6">
              <w:rPr>
                <w:b/>
                <w:bCs/>
                <w:sz w:val="28"/>
                <w:szCs w:val="28"/>
                <w:u w:val="single"/>
              </w:rPr>
              <w:br/>
            </w:r>
            <w:r w:rsidRPr="003970C6">
              <w:rPr>
                <w:b/>
                <w:bCs/>
                <w:sz w:val="32"/>
                <w:szCs w:val="32"/>
                <w:u w:val="single"/>
              </w:rPr>
              <w:br/>
            </w:r>
            <w:r w:rsidRPr="003970C6">
              <w:rPr>
                <w:b/>
                <w:bCs/>
                <w:sz w:val="32"/>
                <w:szCs w:val="32"/>
              </w:rPr>
              <w:t xml:space="preserve">Процедура на подбор на проекти </w:t>
            </w:r>
            <w:r w:rsidRPr="003970C6">
              <w:rPr>
                <w:b/>
                <w:bCs/>
                <w:sz w:val="32"/>
                <w:szCs w:val="32"/>
              </w:rPr>
              <w:br/>
            </w:r>
            <w:r w:rsidRPr="006F1BE2">
              <w:rPr>
                <w:b/>
                <w:bCs/>
                <w:sz w:val="32"/>
                <w:szCs w:val="32"/>
              </w:rPr>
              <w:t>„</w:t>
            </w:r>
            <w:r w:rsidR="006F1BE2" w:rsidRPr="006F1BE2">
              <w:rPr>
                <w:b/>
                <w:bCs/>
                <w:sz w:val="32"/>
                <w:szCs w:val="32"/>
              </w:rPr>
              <w:t xml:space="preserve"> </w:t>
            </w:r>
            <w:r w:rsidR="006F1BE2" w:rsidRPr="006F1BE2">
              <w:rPr>
                <w:b/>
                <w:bCs/>
                <w:sz w:val="32"/>
                <w:szCs w:val="32"/>
              </w:rPr>
              <w:t>ПОДКРЕПА ЗА УСТОЙЧИВО И ЕНЕРГИЙНО ОБНОВЯВАНЕ НА ЖИЛИЩНИЯ СГРАДЕН ФОНД – ЕТАП 1 „ ДО ОБЩИНА/ РАЙОННА АДМИНИСТРАЦИЯ НИКОПОЛ.</w:t>
            </w:r>
            <w:r w:rsidR="006F1BE2" w:rsidRPr="006F1BE2">
              <w:rPr>
                <w:sz w:val="32"/>
                <w:szCs w:val="32"/>
              </w:rPr>
              <w:t xml:space="preserve"> </w:t>
            </w:r>
            <w:r w:rsidRPr="006F1BE2">
              <w:rPr>
                <w:b/>
                <w:bCs/>
                <w:sz w:val="32"/>
                <w:szCs w:val="32"/>
              </w:rPr>
              <w:t xml:space="preserve"> „</w:t>
            </w:r>
            <w:r w:rsidRPr="006F1BE2">
              <w:rPr>
                <w:b/>
                <w:bCs/>
                <w:sz w:val="32"/>
                <w:szCs w:val="32"/>
              </w:rPr>
              <w:br/>
            </w:r>
          </w:p>
        </w:tc>
      </w:tr>
    </w:tbl>
    <w:p w14:paraId="4690C301" w14:textId="77777777" w:rsidR="00066FDB" w:rsidRDefault="00066FDB"/>
    <w:p w14:paraId="5206DC25" w14:textId="77777777" w:rsidR="003970C6" w:rsidRDefault="003970C6"/>
    <w:p w14:paraId="48A41C8B" w14:textId="77777777" w:rsidR="003970C6" w:rsidRDefault="003970C6"/>
    <w:bookmarkEnd w:id="0"/>
    <w:p w14:paraId="0A73B525" w14:textId="77777777" w:rsidR="003970C6" w:rsidRDefault="003970C6"/>
    <w:p w14:paraId="08FD99C5" w14:textId="77777777" w:rsidR="003970C6" w:rsidRDefault="003970C6"/>
    <w:p w14:paraId="515F38FA" w14:textId="77777777" w:rsidR="003970C6" w:rsidRDefault="003970C6"/>
    <w:p w14:paraId="6ADB7EE9" w14:textId="77777777" w:rsidR="003970C6" w:rsidRDefault="003970C6"/>
    <w:p w14:paraId="0B9952FF" w14:textId="77777777" w:rsidR="003970C6" w:rsidRDefault="003970C6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066FDB" w14:paraId="77834DE1" w14:textId="77777777" w:rsidTr="0082727C">
        <w:trPr>
          <w:trHeight w:val="11198"/>
        </w:trPr>
        <w:tc>
          <w:tcPr>
            <w:tcW w:w="8789" w:type="dxa"/>
          </w:tcPr>
          <w:p w14:paraId="0F4601BA" w14:textId="77777777" w:rsidR="00066FDB" w:rsidRDefault="00066FDB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lastRenderedPageBreak/>
              <w:t xml:space="preserve">                     </w:t>
            </w:r>
          </w:p>
          <w:p w14:paraId="1FFF9F7D" w14:textId="77777777" w:rsidR="00066FDB" w:rsidRDefault="00066FDB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                      </w:t>
            </w:r>
            <w:r w:rsidR="003970C6">
              <w:rPr>
                <w:noProof/>
                <w:lang w:val="en-US"/>
              </w:rPr>
              <w:t xml:space="preserve">      </w:t>
            </w:r>
            <w:r w:rsidRPr="003970C6">
              <w:rPr>
                <w:noProof/>
                <w:u w:val="single"/>
              </w:rPr>
              <w:drawing>
                <wp:inline distT="0" distB="0" distL="0" distR="0" wp14:anchorId="72FD58B6" wp14:editId="1B15B7D5">
                  <wp:extent cx="1771650" cy="400050"/>
                  <wp:effectExtent l="0" t="0" r="0" b="0"/>
                  <wp:docPr id="1451453900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453900" name="Картина 145145390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AB3021" w14:textId="77777777" w:rsidR="003970C6" w:rsidRPr="003970C6" w:rsidRDefault="003970C6">
            <w:pPr>
              <w:rPr>
                <w:b/>
                <w:bCs/>
                <w:noProof/>
                <w:sz w:val="28"/>
                <w:szCs w:val="28"/>
                <w:u w:val="single"/>
                <w:lang w:val="en-US"/>
              </w:rPr>
            </w:pPr>
          </w:p>
          <w:p w14:paraId="5FDD377F" w14:textId="77777777" w:rsidR="003970C6" w:rsidRDefault="003970C6" w:rsidP="004504A0">
            <w:r w:rsidRPr="003970C6">
              <w:rPr>
                <w:b/>
                <w:bCs/>
                <w:sz w:val="28"/>
                <w:szCs w:val="28"/>
              </w:rPr>
              <w:t xml:space="preserve">          Цел на процедурата</w:t>
            </w:r>
            <w:r w:rsidRPr="003970C6">
              <w:t xml:space="preserve"> </w:t>
            </w:r>
          </w:p>
          <w:p w14:paraId="23995830" w14:textId="77777777" w:rsidR="003970C6" w:rsidRPr="003970C6" w:rsidRDefault="003970C6" w:rsidP="004504A0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970C6">
              <w:rPr>
                <w:sz w:val="24"/>
                <w:szCs w:val="24"/>
              </w:rPr>
              <w:t xml:space="preserve">Подобряване енергийните характеристики на жилищни сгради , чрез прилагане на устойчиви интегрирани високоефективни енергийни мерки </w:t>
            </w:r>
            <w:r w:rsidRPr="003970C6">
              <w:rPr>
                <w:sz w:val="24"/>
                <w:szCs w:val="24"/>
                <w:lang w:val="en-US"/>
              </w:rPr>
              <w:t>;</w:t>
            </w:r>
          </w:p>
          <w:p w14:paraId="3A0C873C" w14:textId="77777777" w:rsidR="003970C6" w:rsidRPr="003970C6" w:rsidRDefault="003970C6" w:rsidP="004504A0">
            <w:pPr>
              <w:pStyle w:val="a7"/>
              <w:ind w:left="900"/>
              <w:rPr>
                <w:sz w:val="24"/>
                <w:szCs w:val="24"/>
              </w:rPr>
            </w:pPr>
          </w:p>
          <w:p w14:paraId="188E8B91" w14:textId="77777777" w:rsidR="003970C6" w:rsidRPr="003970C6" w:rsidRDefault="003970C6" w:rsidP="004504A0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970C6">
              <w:rPr>
                <w:sz w:val="24"/>
                <w:szCs w:val="24"/>
              </w:rPr>
              <w:t xml:space="preserve">Достигане на клас на енергопотребление „В“ след прилагане на енергоспестяващи мерки при многофамилните жилищни сгради </w:t>
            </w:r>
            <w:r w:rsidRPr="003970C6">
              <w:rPr>
                <w:sz w:val="24"/>
                <w:szCs w:val="24"/>
                <w:lang w:val="en-US"/>
              </w:rPr>
              <w:t>;</w:t>
            </w:r>
          </w:p>
          <w:p w14:paraId="786FD558" w14:textId="77777777" w:rsidR="003970C6" w:rsidRPr="003970C6" w:rsidRDefault="003970C6" w:rsidP="004504A0">
            <w:pPr>
              <w:pStyle w:val="a7"/>
              <w:rPr>
                <w:sz w:val="24"/>
                <w:szCs w:val="24"/>
              </w:rPr>
            </w:pPr>
          </w:p>
          <w:p w14:paraId="2AA0DDF5" w14:textId="54C97049" w:rsidR="003970C6" w:rsidRPr="0082727C" w:rsidRDefault="00A7068C" w:rsidP="004504A0">
            <w:pPr>
              <w:pStyle w:val="a7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 xml:space="preserve">Намаление на енергийното потребление на страната  , както и до </w:t>
            </w:r>
            <w:r w:rsidRPr="0082727C">
              <w:t>редуциране на емисиите на парникови газове ;</w:t>
            </w:r>
          </w:p>
          <w:p w14:paraId="6EBA09DB" w14:textId="77777777" w:rsidR="00A7068C" w:rsidRPr="0082727C" w:rsidRDefault="00A7068C" w:rsidP="004504A0">
            <w:pPr>
              <w:pStyle w:val="a7"/>
            </w:pPr>
          </w:p>
          <w:p w14:paraId="589BDEAA" w14:textId="7D366B52" w:rsidR="00A7068C" w:rsidRPr="0082727C" w:rsidRDefault="00A7068C" w:rsidP="004504A0">
            <w:pPr>
              <w:pStyle w:val="a7"/>
              <w:numPr>
                <w:ilvl w:val="0"/>
                <w:numId w:val="1"/>
              </w:numPr>
            </w:pPr>
            <w:r w:rsidRPr="0082727C">
              <w:t xml:space="preserve">Постигане на 30% спестяване на първична енергия за всеки обект от жилищния сграден фонд </w:t>
            </w:r>
            <w:r w:rsidRPr="0082727C">
              <w:rPr>
                <w:lang w:val="en-US"/>
              </w:rPr>
              <w:t>;</w:t>
            </w:r>
          </w:p>
          <w:p w14:paraId="470B7460" w14:textId="77777777" w:rsidR="00A7068C" w:rsidRPr="0082727C" w:rsidRDefault="00A7068C" w:rsidP="004504A0">
            <w:pPr>
              <w:pStyle w:val="a7"/>
            </w:pPr>
          </w:p>
          <w:p w14:paraId="044ADCF6" w14:textId="2BF26CB3" w:rsidR="00A7068C" w:rsidRPr="00D41FC6" w:rsidRDefault="00A7068C" w:rsidP="004504A0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727C">
              <w:t>Ресурсна ефективност , икономическа целесъобразност , декарбонизация чрез ВЕИ , устойчив строителен процес</w:t>
            </w:r>
            <w:r>
              <w:rPr>
                <w:sz w:val="24"/>
                <w:szCs w:val="24"/>
              </w:rPr>
              <w:t xml:space="preserve"> </w:t>
            </w:r>
            <w:r w:rsidR="00D41FC6">
              <w:rPr>
                <w:sz w:val="24"/>
                <w:szCs w:val="24"/>
                <w:lang w:val="en-US"/>
              </w:rPr>
              <w:t>;</w:t>
            </w:r>
          </w:p>
          <w:p w14:paraId="71102527" w14:textId="77777777" w:rsidR="00D41FC6" w:rsidRPr="00D41FC6" w:rsidRDefault="00D41FC6" w:rsidP="004504A0">
            <w:pPr>
              <w:pStyle w:val="a7"/>
              <w:rPr>
                <w:sz w:val="24"/>
                <w:szCs w:val="24"/>
              </w:rPr>
            </w:pPr>
          </w:p>
          <w:p w14:paraId="68F09850" w14:textId="675D5A5A" w:rsidR="00D41FC6" w:rsidRPr="00D41FC6" w:rsidRDefault="00D41FC6" w:rsidP="004504A0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Намаляване на енергийната бедност , чрез намаляване на разходите за енергия 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14:paraId="778013F8" w14:textId="77777777" w:rsidR="00D41FC6" w:rsidRPr="00D41FC6" w:rsidRDefault="00D41FC6" w:rsidP="004504A0">
            <w:pPr>
              <w:pStyle w:val="a7"/>
              <w:rPr>
                <w:sz w:val="24"/>
                <w:szCs w:val="24"/>
              </w:rPr>
            </w:pPr>
          </w:p>
          <w:p w14:paraId="16C3FAFA" w14:textId="45822BFF" w:rsidR="00D41FC6" w:rsidRPr="003970C6" w:rsidRDefault="00D41FC6" w:rsidP="004504A0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Подобряване на условията и качеството за живот на населението в страната , чрез технологично обновление и модернизиране на сградния фонд ;</w:t>
            </w:r>
          </w:p>
          <w:p w14:paraId="2F8D09ED" w14:textId="77777777" w:rsidR="003970C6" w:rsidRDefault="003970C6" w:rsidP="004504A0">
            <w:pPr>
              <w:pStyle w:val="a7"/>
            </w:pPr>
          </w:p>
          <w:p w14:paraId="476E8F7B" w14:textId="749CE635" w:rsidR="003970C6" w:rsidRPr="003970C6" w:rsidRDefault="003970C6" w:rsidP="003970C6"/>
        </w:tc>
      </w:tr>
    </w:tbl>
    <w:p w14:paraId="087D2802" w14:textId="77777777" w:rsidR="00066FDB" w:rsidRDefault="00066FDB"/>
    <w:p w14:paraId="2E5604B7" w14:textId="77777777" w:rsidR="00D41FC6" w:rsidRDefault="00D41FC6"/>
    <w:p w14:paraId="4E3D5442" w14:textId="77777777" w:rsidR="00D41FC6" w:rsidRDefault="00D41FC6"/>
    <w:p w14:paraId="34E3F25F" w14:textId="77777777" w:rsidR="00D41FC6" w:rsidRDefault="00D41FC6"/>
    <w:p w14:paraId="58D542FC" w14:textId="77777777" w:rsidR="00D41FC6" w:rsidRDefault="00D41FC6"/>
    <w:p w14:paraId="2F584078" w14:textId="132EC0D5" w:rsidR="001E0D3A" w:rsidRPr="001E0D3A" w:rsidRDefault="001E0D3A">
      <w:pPr>
        <w:rPr>
          <w:b/>
          <w:bCs/>
          <w:sz w:val="24"/>
          <w:szCs w:val="24"/>
        </w:rPr>
      </w:pPr>
      <w:r w:rsidRPr="001E0D3A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XSpec="center" w:tblpY="5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321EED" w14:paraId="3B811F32" w14:textId="77777777" w:rsidTr="00E36BED">
        <w:trPr>
          <w:trHeight w:val="8779"/>
        </w:trPr>
        <w:tc>
          <w:tcPr>
            <w:tcW w:w="9067" w:type="dxa"/>
          </w:tcPr>
          <w:p w14:paraId="761B35F8" w14:textId="77777777" w:rsidR="00321EED" w:rsidRDefault="00321EED" w:rsidP="00321EED"/>
          <w:p w14:paraId="08FD3ECA" w14:textId="77777777" w:rsidR="00321EED" w:rsidRDefault="009A61C5" w:rsidP="00321EED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49120B">
              <w:rPr>
                <w:lang w:val="en-US"/>
              </w:rPr>
              <w:t xml:space="preserve">             </w:t>
            </w:r>
            <w:r>
              <w:rPr>
                <w:lang w:val="en-US"/>
              </w:rPr>
              <w:t xml:space="preserve">  </w:t>
            </w:r>
            <w:r w:rsidR="0049120B" w:rsidRPr="0049120B">
              <w:rPr>
                <w:noProof/>
                <w:u w:val="single"/>
                <w:lang w:val="en-US"/>
              </w:rPr>
              <w:drawing>
                <wp:inline distT="0" distB="0" distL="0" distR="0" wp14:anchorId="026ED9FE" wp14:editId="3F93172E">
                  <wp:extent cx="1362075" cy="438150"/>
                  <wp:effectExtent l="0" t="0" r="9525" b="0"/>
                  <wp:docPr id="1270862279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862279" name="Картина 127086227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0345D1" w14:textId="77777777" w:rsidR="0049120B" w:rsidRDefault="0049120B" w:rsidP="00321EED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 xml:space="preserve"> </w:t>
            </w:r>
          </w:p>
          <w:p w14:paraId="6AF38C07" w14:textId="77777777" w:rsidR="0049120B" w:rsidRDefault="0049120B" w:rsidP="00321EED">
            <w:pPr>
              <w:rPr>
                <w:b/>
                <w:bCs/>
                <w:sz w:val="28"/>
                <w:szCs w:val="28"/>
              </w:rPr>
            </w:pPr>
            <w:r w:rsidRPr="0049120B">
              <w:rPr>
                <w:b/>
                <w:bCs/>
                <w:sz w:val="28"/>
                <w:szCs w:val="28"/>
              </w:rPr>
              <w:t xml:space="preserve">             Основни параметри</w:t>
            </w:r>
          </w:p>
          <w:p w14:paraId="18A24DDA" w14:textId="77777777" w:rsidR="00295714" w:rsidRDefault="00295714" w:rsidP="00321EED">
            <w:pPr>
              <w:rPr>
                <w:sz w:val="24"/>
                <w:szCs w:val="24"/>
              </w:rPr>
            </w:pPr>
            <w:r w:rsidRPr="00295714">
              <w:rPr>
                <w:sz w:val="24"/>
                <w:szCs w:val="24"/>
              </w:rPr>
              <w:t xml:space="preserve">   </w:t>
            </w:r>
            <w:r w:rsidRPr="00295714">
              <w:rPr>
                <w:b/>
                <w:bCs/>
                <w:sz w:val="24"/>
                <w:szCs w:val="24"/>
              </w:rPr>
              <w:t xml:space="preserve">Допустими кандидати </w:t>
            </w:r>
            <w:r>
              <w:rPr>
                <w:b/>
                <w:bCs/>
                <w:sz w:val="24"/>
                <w:szCs w:val="24"/>
              </w:rPr>
              <w:t xml:space="preserve">– </w:t>
            </w:r>
            <w:r w:rsidRPr="00295714">
              <w:rPr>
                <w:sz w:val="24"/>
                <w:szCs w:val="24"/>
              </w:rPr>
              <w:t xml:space="preserve">28 </w:t>
            </w:r>
            <w:r>
              <w:rPr>
                <w:sz w:val="24"/>
                <w:szCs w:val="24"/>
              </w:rPr>
              <w:t xml:space="preserve">области и 265 общини . </w:t>
            </w:r>
          </w:p>
          <w:p w14:paraId="41BACF53" w14:textId="77777777" w:rsidR="005D568C" w:rsidRDefault="00295714" w:rsidP="00321E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6293215E" w14:textId="36B07A98" w:rsidR="00295714" w:rsidRDefault="00295714" w:rsidP="00321E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Проектни предложения подава Община Никопол.</w:t>
            </w:r>
          </w:p>
          <w:p w14:paraId="4D161612" w14:textId="77777777" w:rsidR="005D568C" w:rsidRDefault="00295714" w:rsidP="00321E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</w:p>
          <w:p w14:paraId="337953AF" w14:textId="5FCCF40B" w:rsidR="00295714" w:rsidRPr="0082727C" w:rsidRDefault="005D568C" w:rsidP="0088438F">
            <w:pPr>
              <w:jc w:val="both"/>
            </w:pPr>
            <w:r>
              <w:rPr>
                <w:sz w:val="24"/>
                <w:szCs w:val="24"/>
              </w:rPr>
              <w:t xml:space="preserve">     </w:t>
            </w:r>
            <w:r w:rsidR="00295714" w:rsidRPr="0082727C">
              <w:t>Процедурата за предоставяне на финансови средства , чрез подбор на предложения</w:t>
            </w:r>
            <w:r w:rsidR="00424455" w:rsidRPr="0082727C">
              <w:t xml:space="preserve"> за изпълнение на инвестиция по процедура „ ПОДКРЕПА ЗА УСТОЙЧИВО ЕНЕРГИЙНО ОБНОВЯВАНЕ НА ЖИЛИЩНИЯ СГРАДЕН ФОНД – ЕТАП 1 „ по инвестиция „ ЕНЕРГИЙНА ЕФЕКТИВНОСТ В СГРАДЕН ФОНД „ на Националния план за възстановяване и устойчивост на Република България, с ресорно министерство – Министерство на регионалното развитие и благоустройство .</w:t>
            </w:r>
          </w:p>
          <w:p w14:paraId="3F15E6C9" w14:textId="77777777" w:rsidR="005D568C" w:rsidRPr="0082727C" w:rsidRDefault="009D5646" w:rsidP="0088438F">
            <w:pPr>
              <w:jc w:val="both"/>
            </w:pPr>
            <w:r w:rsidRPr="0082727C">
              <w:t>М</w:t>
            </w:r>
            <w:r w:rsidR="005D568C" w:rsidRPr="0082727C">
              <w:t xml:space="preserve">инималният </w:t>
            </w:r>
            <w:r w:rsidRPr="0082727C">
              <w:t xml:space="preserve"> размер на заявените средства </w:t>
            </w:r>
            <w:r w:rsidR="005D568C" w:rsidRPr="0082727C">
              <w:t xml:space="preserve">по всеки индивидуален ПИИ е </w:t>
            </w:r>
            <w:r w:rsidR="005D568C" w:rsidRPr="0082727C">
              <w:rPr>
                <w:b/>
                <w:bCs/>
              </w:rPr>
              <w:t>50 000</w:t>
            </w:r>
            <w:r w:rsidR="005D568C" w:rsidRPr="0082727C">
              <w:t xml:space="preserve"> лева.</w:t>
            </w:r>
            <w:r w:rsidRPr="0082727C">
              <w:t xml:space="preserve">  </w:t>
            </w:r>
          </w:p>
          <w:p w14:paraId="4DFEBC63" w14:textId="77777777" w:rsidR="005D568C" w:rsidRDefault="005D568C" w:rsidP="0088438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D568C">
              <w:rPr>
                <w:i/>
                <w:iCs/>
                <w:sz w:val="24"/>
                <w:szCs w:val="24"/>
              </w:rPr>
              <w:t>Максималният размер на заявените средства по всеки индивидуален ПИИ за сграда / блок-секция не може да надхвърля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9 500 000 </w:t>
            </w:r>
            <w:r w:rsidRPr="005D568C">
              <w:rPr>
                <w:i/>
                <w:iCs/>
                <w:sz w:val="24"/>
                <w:szCs w:val="24"/>
              </w:rPr>
              <w:t>лева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.</w:t>
            </w:r>
          </w:p>
          <w:p w14:paraId="01E644C2" w14:textId="76E86F32" w:rsidR="009D5646" w:rsidRDefault="009D5646" w:rsidP="0088438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D5646">
              <w:rPr>
                <w:b/>
                <w:bCs/>
                <w:i/>
                <w:iCs/>
                <w:sz w:val="24"/>
                <w:szCs w:val="24"/>
              </w:rPr>
              <w:t xml:space="preserve">Одобрените  сгради ще получат до 100 % безвъзмездна финансова </w:t>
            </w:r>
          </w:p>
          <w:p w14:paraId="49D94A36" w14:textId="79E88989" w:rsidR="009D5646" w:rsidRDefault="009D5646" w:rsidP="0088438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D5646">
              <w:rPr>
                <w:b/>
                <w:bCs/>
                <w:i/>
                <w:iCs/>
                <w:sz w:val="24"/>
                <w:szCs w:val="24"/>
              </w:rPr>
              <w:t xml:space="preserve">помощ </w:t>
            </w:r>
            <w:r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219A642A" w14:textId="77777777" w:rsidR="005D568C" w:rsidRDefault="005D568C" w:rsidP="0088438F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7C75AED" w14:textId="408DF91B" w:rsidR="009D5646" w:rsidRDefault="009D5646" w:rsidP="0088438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Краен срок за подаване на проектни предложения от</w:t>
            </w:r>
          </w:p>
          <w:p w14:paraId="1313B1DE" w14:textId="0C2B45E6" w:rsidR="009D5646" w:rsidRDefault="009D5646" w:rsidP="0088438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Община Никопол - </w:t>
            </w:r>
            <w:r w:rsidRPr="009D5646">
              <w:rPr>
                <w:b/>
                <w:bCs/>
                <w:sz w:val="24"/>
                <w:szCs w:val="24"/>
              </w:rPr>
              <w:t>31.</w:t>
            </w:r>
            <w:r>
              <w:rPr>
                <w:b/>
                <w:bCs/>
                <w:sz w:val="24"/>
                <w:szCs w:val="24"/>
              </w:rPr>
              <w:t>05.2023 г.</w:t>
            </w:r>
          </w:p>
          <w:p w14:paraId="75E4776E" w14:textId="77777777" w:rsidR="009D5646" w:rsidRPr="009D5646" w:rsidRDefault="009D5646" w:rsidP="0088438F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2824AEC" w14:textId="720BEBFD" w:rsidR="009D5646" w:rsidRPr="009D5646" w:rsidRDefault="009D5646" w:rsidP="00321EE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10F602A" w14:textId="77777777" w:rsidR="00D41FC6" w:rsidRDefault="00D41FC6"/>
    <w:p w14:paraId="581F3479" w14:textId="77777777" w:rsidR="009D5646" w:rsidRDefault="009D5646"/>
    <w:p w14:paraId="1444CA47" w14:textId="77777777" w:rsidR="009D5646" w:rsidRDefault="009D5646"/>
    <w:p w14:paraId="51FC851C" w14:textId="77777777" w:rsidR="009D5646" w:rsidRDefault="009D5646"/>
    <w:p w14:paraId="011FE665" w14:textId="77777777" w:rsidR="009D5646" w:rsidRDefault="009D5646"/>
    <w:p w14:paraId="2DFDFEE6" w14:textId="77777777" w:rsidR="005D568C" w:rsidRDefault="005D568C"/>
    <w:p w14:paraId="1E074038" w14:textId="63D5C7B0" w:rsidR="009D5646" w:rsidRPr="001E0D3A" w:rsidRDefault="009D5646" w:rsidP="001E0D3A">
      <w:pPr>
        <w:jc w:val="right"/>
        <w:rPr>
          <w:b/>
          <w:bCs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D568C" w14:paraId="6B1464E4" w14:textId="77777777" w:rsidTr="005D568C">
        <w:trPr>
          <w:trHeight w:val="9581"/>
        </w:trPr>
        <w:tc>
          <w:tcPr>
            <w:tcW w:w="9072" w:type="dxa"/>
          </w:tcPr>
          <w:p w14:paraId="2225B80F" w14:textId="4866291C" w:rsidR="005D568C" w:rsidRDefault="005D568C" w:rsidP="004504A0">
            <w:r>
              <w:lastRenderedPageBreak/>
              <w:t xml:space="preserve"> </w:t>
            </w:r>
          </w:p>
          <w:p w14:paraId="4CC088D9" w14:textId="77777777" w:rsidR="005D568C" w:rsidRDefault="005D568C" w:rsidP="004504A0">
            <w:r>
              <w:t xml:space="preserve">                   </w:t>
            </w:r>
            <w:r w:rsidRPr="005D568C">
              <w:rPr>
                <w:noProof/>
                <w:u w:val="single"/>
              </w:rPr>
              <w:drawing>
                <wp:inline distT="0" distB="0" distL="0" distR="0" wp14:anchorId="38CC3504" wp14:editId="00EB37A6">
                  <wp:extent cx="1590675" cy="466725"/>
                  <wp:effectExtent l="0" t="0" r="9525" b="9525"/>
                  <wp:docPr id="892861476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861476" name="Картина 89286147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8710F9" w14:textId="07BA364C" w:rsidR="005D568C" w:rsidRDefault="005D568C" w:rsidP="004504A0">
            <w:pPr>
              <w:rPr>
                <w:u w:val="single"/>
              </w:rPr>
            </w:pPr>
            <w:r w:rsidRPr="005D568C">
              <w:rPr>
                <w:b/>
                <w:bCs/>
                <w:sz w:val="28"/>
                <w:szCs w:val="28"/>
              </w:rPr>
              <w:t>Допустими дейности</w:t>
            </w:r>
            <w:r>
              <w:rPr>
                <w:u w:val="single"/>
              </w:rPr>
              <w:t xml:space="preserve"> </w:t>
            </w:r>
          </w:p>
          <w:p w14:paraId="68F67592" w14:textId="77777777" w:rsidR="005D568C" w:rsidRPr="0082727C" w:rsidRDefault="005D568C" w:rsidP="004504A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B66BE">
              <w:rPr>
                <w:b/>
                <w:bCs/>
                <w:i/>
                <w:iCs/>
              </w:rPr>
              <w:t xml:space="preserve">   </w:t>
            </w:r>
            <w:r w:rsidRPr="0082727C">
              <w:rPr>
                <w:b/>
                <w:bCs/>
                <w:i/>
                <w:iCs/>
                <w:sz w:val="24"/>
                <w:szCs w:val="24"/>
              </w:rPr>
              <w:t>Допустимите дейности за финансиране са :</w:t>
            </w:r>
          </w:p>
          <w:p w14:paraId="1381126B" w14:textId="77777777" w:rsidR="005D568C" w:rsidRPr="0082727C" w:rsidRDefault="005D568C" w:rsidP="004504A0">
            <w:r w:rsidRPr="0082727C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64599406" wp14:editId="15235F6D">
                      <wp:simplePos x="0" y="0"/>
                      <wp:positionH relativeFrom="column">
                        <wp:posOffset>141260</wp:posOffset>
                      </wp:positionH>
                      <wp:positionV relativeFrom="paragraph">
                        <wp:posOffset>231550</wp:posOffset>
                      </wp:positionV>
                      <wp:extent cx="360" cy="360"/>
                      <wp:effectExtent l="38100" t="38100" r="57150" b="57150"/>
                      <wp:wrapNone/>
                      <wp:docPr id="318650989" name="Ръкопис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CD1BF3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ъкопис 4" o:spid="_x0000_s1026" type="#_x0000_t75" style="position:absolute;margin-left:10.4pt;margin-top:17.5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">
                      <v:imagedata r:id="rId10" o:title=""/>
                    </v:shape>
                  </w:pict>
                </mc:Fallback>
              </mc:AlternateContent>
            </w:r>
            <w:r w:rsidRPr="0082727C">
              <w:t xml:space="preserve">    </w:t>
            </w:r>
            <w:r w:rsidR="004B66BE" w:rsidRPr="0082727C">
              <w:t xml:space="preserve">  Дейности по изпълнение на мерки за енергийна ефективност , които са предписани като задължителни за сградата в обследването за енергийна ефективност :</w:t>
            </w:r>
          </w:p>
          <w:p w14:paraId="55A2726F" w14:textId="39A174B0" w:rsidR="004B66BE" w:rsidRPr="0082727C" w:rsidRDefault="001E0D3A" w:rsidP="001E0D3A">
            <w:pPr>
              <w:pStyle w:val="a7"/>
              <w:ind w:left="46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1.</w:t>
            </w:r>
            <w:r w:rsidR="004B66BE" w:rsidRPr="0082727C">
              <w:rPr>
                <w:b/>
                <w:bCs/>
                <w:sz w:val="24"/>
                <w:szCs w:val="24"/>
              </w:rPr>
              <w:t>По външните сградни ограждащи елементи :</w:t>
            </w:r>
          </w:p>
          <w:p w14:paraId="2DE210F5" w14:textId="77777777" w:rsidR="004B66BE" w:rsidRPr="0082727C" w:rsidRDefault="004B66BE" w:rsidP="004504A0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727C">
              <w:rPr>
                <w:sz w:val="24"/>
                <w:szCs w:val="24"/>
              </w:rPr>
              <w:t>Подмяна на дограма / прозорци , врати , витрини и др./ ;</w:t>
            </w:r>
          </w:p>
          <w:p w14:paraId="5AF89B0C" w14:textId="77777777" w:rsidR="001E0D3A" w:rsidRPr="001E0D3A" w:rsidRDefault="004B66BE" w:rsidP="001E0D3A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727C">
              <w:rPr>
                <w:sz w:val="24"/>
                <w:szCs w:val="24"/>
              </w:rPr>
              <w:t xml:space="preserve">Топлинно изолиране на външните ограждащи елементи / външни стени , покриви , подове и др. / </w:t>
            </w:r>
            <w:r w:rsidRPr="0082727C">
              <w:rPr>
                <w:sz w:val="24"/>
                <w:szCs w:val="24"/>
                <w:lang w:val="en-US"/>
              </w:rPr>
              <w:t>;</w:t>
            </w:r>
          </w:p>
          <w:p w14:paraId="0CC554E1" w14:textId="3C0410A9" w:rsidR="004B66BE" w:rsidRPr="001E0D3A" w:rsidRDefault="001E0D3A" w:rsidP="001E0D3A">
            <w:pPr>
              <w:pStyle w:val="a7"/>
              <w:ind w:left="9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 w:rsidR="004B66BE" w:rsidRPr="001E0D3A">
              <w:rPr>
                <w:b/>
                <w:bCs/>
                <w:sz w:val="24"/>
                <w:szCs w:val="24"/>
              </w:rPr>
              <w:t>По системи за поддържане на микроклимата :</w:t>
            </w:r>
          </w:p>
          <w:p w14:paraId="5A651879" w14:textId="77777777" w:rsidR="004B66BE" w:rsidRPr="0082727C" w:rsidRDefault="004B66BE" w:rsidP="004504A0">
            <w:pPr>
              <w:pStyle w:val="a7"/>
              <w:numPr>
                <w:ilvl w:val="0"/>
                <w:numId w:val="1"/>
              </w:numPr>
            </w:pPr>
            <w:r w:rsidRPr="0082727C">
              <w:t xml:space="preserve">Ремонт, модернизация или подмяна на амортизирани общи части на системите за отопление , охлаждане и вентилация на сградата за повишаване на енергийната ефективност , в границите на външната отоплителна инсталация и без да се засягат съоръжения и арматурата собственост на </w:t>
            </w:r>
            <w:r w:rsidR="005C747D" w:rsidRPr="0082727C">
              <w:t xml:space="preserve">топлофикационни предприятия,  регистрирани по Закона за енергетиката </w:t>
            </w:r>
            <w:r w:rsidR="005C747D" w:rsidRPr="0082727C">
              <w:rPr>
                <w:lang w:val="en-US"/>
              </w:rPr>
              <w:t>;</w:t>
            </w:r>
          </w:p>
          <w:p w14:paraId="14692D0E" w14:textId="77777777" w:rsidR="005C747D" w:rsidRPr="0082727C" w:rsidRDefault="005C747D" w:rsidP="004504A0">
            <w:pPr>
              <w:pStyle w:val="a7"/>
              <w:numPr>
                <w:ilvl w:val="0"/>
                <w:numId w:val="1"/>
              </w:numPr>
            </w:pPr>
            <w:r w:rsidRPr="0082727C">
              <w:t xml:space="preserve">Реконструкция на вертикална система за отопление в хоризонтална , като се осигурява индивидуално отчитане на разхода за топлина на всеки собственик на самостоятелно отделение в сградата </w:t>
            </w:r>
            <w:r w:rsidRPr="0082727C">
              <w:rPr>
                <w:lang w:val="en-US"/>
              </w:rPr>
              <w:t>;</w:t>
            </w:r>
          </w:p>
          <w:p w14:paraId="2D990ACA" w14:textId="77777777" w:rsidR="005C747D" w:rsidRPr="0082727C" w:rsidRDefault="005C747D" w:rsidP="004504A0">
            <w:pPr>
              <w:pStyle w:val="a7"/>
              <w:numPr>
                <w:ilvl w:val="0"/>
                <w:numId w:val="1"/>
              </w:numPr>
            </w:pPr>
            <w:r w:rsidRPr="0082727C">
              <w:t xml:space="preserve">Ремонт или подмяна на електрическа инсталация в общите части на сградата и изпълнение на енергоспестяващо осветление в общите части </w:t>
            </w:r>
            <w:r w:rsidRPr="0082727C">
              <w:rPr>
                <w:lang w:val="en-US"/>
              </w:rPr>
              <w:t>;</w:t>
            </w:r>
          </w:p>
          <w:p w14:paraId="3F8CAA01" w14:textId="77777777" w:rsidR="005C747D" w:rsidRPr="0082727C" w:rsidRDefault="005C747D" w:rsidP="004504A0">
            <w:pPr>
              <w:pStyle w:val="a7"/>
              <w:numPr>
                <w:ilvl w:val="0"/>
                <w:numId w:val="1"/>
              </w:numPr>
            </w:pPr>
            <w:r w:rsidRPr="0082727C">
              <w:t xml:space="preserve">Инсталиране на система за автоматизирано </w:t>
            </w:r>
            <w:r w:rsidR="00230634" w:rsidRPr="0082727C">
              <w:t xml:space="preserve">централизирано управление на осветлението в общите части на жилищната сграда </w:t>
            </w:r>
            <w:r w:rsidR="00230634" w:rsidRPr="0082727C">
              <w:rPr>
                <w:lang w:val="en-US"/>
              </w:rPr>
              <w:t>;</w:t>
            </w:r>
          </w:p>
          <w:p w14:paraId="249B0B7C" w14:textId="0CB601B5" w:rsidR="00D03AE1" w:rsidRPr="001E0D3A" w:rsidRDefault="00230634" w:rsidP="001E0D3A">
            <w:pPr>
              <w:rPr>
                <w:b/>
                <w:bCs/>
                <w:sz w:val="24"/>
                <w:szCs w:val="24"/>
              </w:rPr>
            </w:pPr>
            <w:r w:rsidRPr="001E0D3A">
              <w:rPr>
                <w:b/>
                <w:bCs/>
                <w:sz w:val="24"/>
                <w:szCs w:val="24"/>
              </w:rPr>
              <w:t xml:space="preserve">Поставяне/инсталиране на системи за оползотворяване на енергия от възобновяеми енергийни източници  за енергийните потребности на сградата и батерии за съхранение на енергия , бойлери за гореща вода към общите части на системата / не за индивидуално  ползване на СО / , ако са предписани </w:t>
            </w:r>
            <w:r w:rsidR="00D03AE1" w:rsidRPr="001E0D3A">
              <w:rPr>
                <w:b/>
                <w:bCs/>
                <w:sz w:val="24"/>
                <w:szCs w:val="24"/>
              </w:rPr>
              <w:t xml:space="preserve">в енергийното обследване </w:t>
            </w:r>
            <w:r w:rsidR="00D03AE1" w:rsidRPr="001E0D3A">
              <w:rPr>
                <w:b/>
                <w:bCs/>
                <w:sz w:val="24"/>
                <w:szCs w:val="24"/>
                <w:lang w:val="en-US"/>
              </w:rPr>
              <w:t>;</w:t>
            </w:r>
            <w:r w:rsidR="00A65D62" w:rsidRPr="001E0D3A">
              <w:rPr>
                <w:b/>
                <w:bCs/>
                <w:sz w:val="24"/>
                <w:szCs w:val="24"/>
              </w:rPr>
              <w:t xml:space="preserve"> </w:t>
            </w:r>
            <w:r w:rsidR="00A65D62" w:rsidRPr="001E0D3A">
              <w:rPr>
                <w:b/>
                <w:bCs/>
                <w:sz w:val="24"/>
                <w:szCs w:val="24"/>
                <w:lang w:val="en-US"/>
              </w:rPr>
              <w:t xml:space="preserve">   </w:t>
            </w:r>
            <w:r w:rsidR="00A65D62" w:rsidRPr="0082727C">
              <w:rPr>
                <w:b/>
                <w:bCs/>
                <w:sz w:val="24"/>
                <w:szCs w:val="24"/>
              </w:rPr>
              <w:t>4.</w:t>
            </w:r>
            <w:r w:rsidR="003D105B" w:rsidRPr="0082727C">
              <w:rPr>
                <w:b/>
                <w:bCs/>
                <w:sz w:val="24"/>
                <w:szCs w:val="24"/>
              </w:rPr>
              <w:t xml:space="preserve">Съпътстващи строителни и монтажни работи ,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енергоспестяващ ефект. Съпътстващите строителни и монтажни работи са свързани единствено с възстановяването на първоначалното състояние , нарушено в резултат </w:t>
            </w:r>
            <w:r w:rsidR="00A65D62" w:rsidRPr="0082727C">
              <w:rPr>
                <w:b/>
                <w:bCs/>
                <w:sz w:val="24"/>
                <w:szCs w:val="24"/>
              </w:rPr>
              <w:t xml:space="preserve">на обновяването на общите части и подмяната да дограма в самостоятелния обект </w:t>
            </w:r>
            <w:r w:rsidR="00A65D62" w:rsidRPr="0082727C">
              <w:rPr>
                <w:b/>
                <w:bCs/>
                <w:sz w:val="24"/>
                <w:szCs w:val="24"/>
                <w:lang w:val="en-US"/>
              </w:rPr>
              <w:t xml:space="preserve">; </w:t>
            </w:r>
          </w:p>
        </w:tc>
      </w:tr>
    </w:tbl>
    <w:p w14:paraId="4535F6AA" w14:textId="3D6C23B8" w:rsidR="009D5646" w:rsidRDefault="001E0D3A" w:rsidP="001E0D3A">
      <w:pPr>
        <w:jc w:val="right"/>
      </w:pPr>
      <w:r>
        <w:t xml:space="preserve">                                                                                                     </w:t>
      </w:r>
    </w:p>
    <w:p w14:paraId="5DAC2B4A" w14:textId="476AB605" w:rsidR="009D5646" w:rsidRDefault="009D5646" w:rsidP="00E36BED">
      <w:pPr>
        <w:jc w:val="right"/>
      </w:pPr>
    </w:p>
    <w:p w14:paraId="466AD780" w14:textId="77777777" w:rsidR="00611C2B" w:rsidRDefault="00611C2B"/>
    <w:tbl>
      <w:tblPr>
        <w:tblpPr w:leftFromText="141" w:rightFromText="141" w:vertAnchor="text" w:horzAnchor="margin" w:tblpY="-69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E0D3A" w14:paraId="4C8DAF08" w14:textId="77777777" w:rsidTr="001E0D3A">
        <w:trPr>
          <w:trHeight w:val="6795"/>
        </w:trPr>
        <w:tc>
          <w:tcPr>
            <w:tcW w:w="9498" w:type="dxa"/>
          </w:tcPr>
          <w:p w14:paraId="026AD1E7" w14:textId="77777777" w:rsidR="001E0D3A" w:rsidRPr="00A65D62" w:rsidRDefault="001E0D3A" w:rsidP="001E0D3A"/>
          <w:p w14:paraId="570340CA" w14:textId="77777777" w:rsidR="001E0D3A" w:rsidRPr="00611C2B" w:rsidRDefault="001E0D3A" w:rsidP="001E0D3A">
            <w:pPr>
              <w:rPr>
                <w:noProof/>
                <w:u w:val="single"/>
                <w:lang w:val="en-US"/>
              </w:rPr>
            </w:pPr>
            <w:r w:rsidRPr="00A65D62">
              <w:rPr>
                <w:noProof/>
                <w:lang w:val="en-US"/>
              </w:rPr>
              <w:t xml:space="preserve">    </w:t>
            </w:r>
            <w:r>
              <w:rPr>
                <w:noProof/>
                <w:lang w:val="en-US"/>
              </w:rPr>
              <w:t xml:space="preserve">     </w:t>
            </w:r>
            <w:r w:rsidRPr="00A65D62">
              <w:rPr>
                <w:noProof/>
                <w:lang w:val="en-US"/>
              </w:rPr>
              <w:t xml:space="preserve">         </w:t>
            </w:r>
            <w:r w:rsidRPr="00611C2B">
              <w:rPr>
                <w:noProof/>
                <w:u w:val="single"/>
              </w:rPr>
              <w:drawing>
                <wp:inline distT="0" distB="0" distL="0" distR="0" wp14:anchorId="7280A3A4" wp14:editId="4C12AD55">
                  <wp:extent cx="1590675" cy="466725"/>
                  <wp:effectExtent l="0" t="0" r="9525" b="9525"/>
                  <wp:docPr id="780742890" name="Картина 780742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861476" name="Картина 89286147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D9763A" w14:textId="77777777" w:rsidR="001E0D3A" w:rsidRDefault="001E0D3A" w:rsidP="001E0D3A">
            <w:pPr>
              <w:rPr>
                <w:noProof/>
                <w:lang w:val="en-US"/>
              </w:rPr>
            </w:pPr>
          </w:p>
          <w:p w14:paraId="5B996EAD" w14:textId="77777777" w:rsidR="001E0D3A" w:rsidRDefault="001E0D3A" w:rsidP="001E0D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   </w:t>
            </w:r>
            <w:r w:rsidRPr="005D568C">
              <w:rPr>
                <w:b/>
                <w:bCs/>
                <w:sz w:val="28"/>
                <w:szCs w:val="28"/>
              </w:rPr>
              <w:t>Допустими дейности</w:t>
            </w:r>
          </w:p>
          <w:p w14:paraId="2837DA5C" w14:textId="77777777" w:rsidR="001E0D3A" w:rsidRPr="0082727C" w:rsidRDefault="001E0D3A" w:rsidP="001E0D3A">
            <w:pPr>
              <w:pStyle w:val="a7"/>
              <w:numPr>
                <w:ilvl w:val="0"/>
                <w:numId w:val="3"/>
              </w:numPr>
              <w:rPr>
                <w:b/>
                <w:bCs/>
              </w:rPr>
            </w:pPr>
            <w:r w:rsidRPr="0082727C">
              <w:rPr>
                <w:b/>
                <w:bCs/>
              </w:rPr>
              <w:t xml:space="preserve">Ремонт на покрив / </w:t>
            </w:r>
            <w:proofErr w:type="spellStart"/>
            <w:r w:rsidRPr="0082727C">
              <w:rPr>
                <w:b/>
                <w:bCs/>
              </w:rPr>
              <w:t>скатен</w:t>
            </w:r>
            <w:proofErr w:type="spellEnd"/>
            <w:r w:rsidRPr="0082727C">
              <w:rPr>
                <w:b/>
                <w:bCs/>
              </w:rPr>
              <w:t xml:space="preserve"> или плосък покрив / , който може да включи дейности по възстановяване на покрития , хидроизолация , обшивки, водоотвеждаща система – допустима само при предписана в енергийно обследване енергоспестяваща   мярка „ Топлоизолация на покрив“</w:t>
            </w:r>
          </w:p>
          <w:p w14:paraId="01C0CA67" w14:textId="77777777" w:rsidR="001E0D3A" w:rsidRPr="0082727C" w:rsidRDefault="001E0D3A" w:rsidP="001E0D3A">
            <w:pPr>
              <w:pStyle w:val="a7"/>
              <w:numPr>
                <w:ilvl w:val="0"/>
                <w:numId w:val="3"/>
              </w:numPr>
              <w:rPr>
                <w:b/>
                <w:bCs/>
              </w:rPr>
            </w:pPr>
            <w:r w:rsidRPr="0082727C">
              <w:rPr>
                <w:b/>
                <w:bCs/>
              </w:rPr>
              <w:t>СМР , които произтичат от нормативни изисквания свързани с безопасната експлоатация на сградите и са предписани като задължителни в техническия паспорт на сградата и СМР , които са нормативно необходими за въвеждане на сградата в експлоатация :</w:t>
            </w:r>
          </w:p>
          <w:p w14:paraId="5C216FC3" w14:textId="77777777" w:rsidR="001E0D3A" w:rsidRPr="0082727C" w:rsidRDefault="001E0D3A" w:rsidP="001E0D3A">
            <w:pPr>
              <w:pStyle w:val="a7"/>
              <w:numPr>
                <w:ilvl w:val="0"/>
                <w:numId w:val="1"/>
              </w:numPr>
            </w:pPr>
            <w:r w:rsidRPr="0082727C">
              <w:t xml:space="preserve">СМР свързани с отстраняването на дефекти и повреди , които не нарушават общата конструктивна устойчивост на сградите , но в същото време създават пряка опасност за преките ползватели или неотстраняването  им би довело до по-сериозни промени в носещата конструкция на сградата в бъдеще </w:t>
            </w:r>
            <w:r w:rsidRPr="0082727C">
              <w:rPr>
                <w:lang w:val="en-US"/>
              </w:rPr>
              <w:t>;</w:t>
            </w:r>
          </w:p>
          <w:p w14:paraId="09C97B57" w14:textId="77777777" w:rsidR="001E0D3A" w:rsidRPr="0082727C" w:rsidRDefault="001E0D3A" w:rsidP="001E0D3A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 w:rsidRPr="0082727C">
              <w:t xml:space="preserve">СМР , свързани с осигуряване на пожарна безопасност , изграждане / ремонт/подмяна на мълниезащитна и заземителна инсталация , осигуряване на достъпна архитектурна среда до входа на жилищната сграда </w:t>
            </w:r>
            <w:r w:rsidRPr="0082727C">
              <w:rPr>
                <w:lang w:val="en-US"/>
              </w:rPr>
              <w:t>;</w:t>
            </w:r>
          </w:p>
          <w:p w14:paraId="118D6784" w14:textId="77777777" w:rsidR="001E0D3A" w:rsidRPr="0082727C" w:rsidRDefault="001E0D3A" w:rsidP="001E0D3A">
            <w:pPr>
              <w:pStyle w:val="a7"/>
              <w:jc w:val="both"/>
              <w:rPr>
                <w:lang w:val="en-US"/>
              </w:rPr>
            </w:pPr>
          </w:p>
          <w:p w14:paraId="78C8DB30" w14:textId="77777777" w:rsidR="001E0D3A" w:rsidRPr="00C47086" w:rsidRDefault="001E0D3A" w:rsidP="001E0D3A">
            <w:pPr>
              <w:pStyle w:val="a7"/>
              <w:ind w:left="900"/>
              <w:rPr>
                <w:sz w:val="24"/>
                <w:szCs w:val="24"/>
                <w:lang w:val="en-US"/>
              </w:rPr>
            </w:pPr>
          </w:p>
        </w:tc>
      </w:tr>
    </w:tbl>
    <w:p w14:paraId="49D85A4C" w14:textId="77777777" w:rsidR="00611C2B" w:rsidRDefault="00611C2B"/>
    <w:tbl>
      <w:tblPr>
        <w:tblpPr w:leftFromText="141" w:rightFromText="141" w:vertAnchor="text" w:horzAnchor="margin" w:tblpY="223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0C5112" w14:paraId="0DAB141D" w14:textId="77777777" w:rsidTr="000C5112">
        <w:trPr>
          <w:trHeight w:val="2520"/>
        </w:trPr>
        <w:tc>
          <w:tcPr>
            <w:tcW w:w="9640" w:type="dxa"/>
          </w:tcPr>
          <w:p w14:paraId="3428D49F" w14:textId="77777777" w:rsidR="000C5112" w:rsidRDefault="000C5112" w:rsidP="000C5112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14:paraId="1D71A624" w14:textId="77777777" w:rsidR="000C5112" w:rsidRDefault="000C5112" w:rsidP="000C511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 w:rsidRPr="00611C2B">
              <w:rPr>
                <w:noProof/>
                <w:u w:val="single"/>
              </w:rPr>
              <w:drawing>
                <wp:inline distT="0" distB="0" distL="0" distR="0" wp14:anchorId="772F654A" wp14:editId="704DB008">
                  <wp:extent cx="1590675" cy="466725"/>
                  <wp:effectExtent l="0" t="0" r="9525" b="9525"/>
                  <wp:docPr id="2097445185" name="Картина 2097445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861476" name="Картина 89286147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FF6668" w14:textId="77777777" w:rsidR="000C5112" w:rsidRDefault="000C5112" w:rsidP="000C5112">
            <w:pPr>
              <w:rPr>
                <w:u w:val="single"/>
                <w:lang w:val="en-US"/>
              </w:rPr>
            </w:pPr>
          </w:p>
          <w:p w14:paraId="00086785" w14:textId="77777777" w:rsidR="000C5112" w:rsidRDefault="000C5112" w:rsidP="000C5112">
            <w:pPr>
              <w:rPr>
                <w:b/>
                <w:bCs/>
              </w:rPr>
            </w:pPr>
            <w:r w:rsidRPr="000B405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 xml:space="preserve">   </w:t>
            </w:r>
            <w:r w:rsidRPr="000B4059">
              <w:rPr>
                <w:b/>
                <w:bCs/>
              </w:rPr>
              <w:t xml:space="preserve">КРИТЕРИИ </w:t>
            </w:r>
            <w:r>
              <w:rPr>
                <w:b/>
                <w:bCs/>
              </w:rPr>
              <w:t xml:space="preserve">ЗА ДОПУСТИМОСТ НА СГРАДИТЕ </w:t>
            </w:r>
          </w:p>
          <w:p w14:paraId="5D781495" w14:textId="77777777" w:rsidR="000C5112" w:rsidRDefault="000C5112" w:rsidP="000C5112">
            <w:pPr>
              <w:pStyle w:val="a7"/>
              <w:numPr>
                <w:ilvl w:val="0"/>
                <w:numId w:val="4"/>
              </w:numPr>
              <w:jc w:val="both"/>
            </w:pPr>
            <w:r>
              <w:t xml:space="preserve"> </w:t>
            </w:r>
            <w:r w:rsidRPr="000B4059">
              <w:t xml:space="preserve">Допустими са всички </w:t>
            </w:r>
            <w:r>
              <w:t>многофамилни жилищни сгради , които се управляват по реда на Закона за управление на етажната собственост и са проектирани преди 26ти април 1999 г.</w:t>
            </w:r>
          </w:p>
          <w:p w14:paraId="62BA8BF8" w14:textId="77777777" w:rsidR="000C5112" w:rsidRDefault="000C5112" w:rsidP="000C5112">
            <w:pPr>
              <w:jc w:val="both"/>
            </w:pPr>
          </w:p>
          <w:p w14:paraId="29988987" w14:textId="77777777" w:rsidR="000C5112" w:rsidRPr="000B4059" w:rsidRDefault="000C5112" w:rsidP="000C5112">
            <w:pPr>
              <w:pStyle w:val="a7"/>
              <w:numPr>
                <w:ilvl w:val="0"/>
                <w:numId w:val="4"/>
              </w:numPr>
              <w:jc w:val="both"/>
            </w:pPr>
            <w:r>
              <w:t xml:space="preserve">Многофамилни жилищни сгради , които се управляват по реда на ЗУЕС са тези в които броят самостоятелни обекти са най-малко четири и принадлежат на повече от един собственик . Сградата следва да е жилищна и да е предназначена за постоянно обитаване , в която най-малко 60 на сто от нейната разгъната застроена площ се заема от жилища  /съгласно § 5 , т.29 от  допълнителните разпоредби на ЗУТ/ . </w:t>
            </w:r>
          </w:p>
          <w:p w14:paraId="5BE0D11D" w14:textId="77777777" w:rsidR="000C5112" w:rsidRPr="000B4059" w:rsidRDefault="000C5112" w:rsidP="000C5112">
            <w:pPr>
              <w:jc w:val="both"/>
              <w:rPr>
                <w:b/>
                <w:bCs/>
              </w:rPr>
            </w:pPr>
          </w:p>
          <w:p w14:paraId="5AC333E7" w14:textId="77777777" w:rsidR="000C5112" w:rsidRPr="00611C2B" w:rsidRDefault="000C5112" w:rsidP="000C5112">
            <w:pPr>
              <w:rPr>
                <w:lang w:val="en-US"/>
              </w:rPr>
            </w:pPr>
          </w:p>
        </w:tc>
      </w:tr>
    </w:tbl>
    <w:p w14:paraId="1F9A2DE8" w14:textId="090F9735" w:rsidR="00E36BED" w:rsidRPr="00E36BED" w:rsidRDefault="00E36BED">
      <w:pPr>
        <w:rPr>
          <w:b/>
          <w:bCs/>
        </w:rPr>
      </w:pPr>
    </w:p>
    <w:tbl>
      <w:tblPr>
        <w:tblpPr w:leftFromText="141" w:rightFromText="141" w:vertAnchor="text" w:horzAnchor="margin" w:tblpY="543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0C5112" w14:paraId="38F4BC95" w14:textId="77777777" w:rsidTr="00E36BED">
        <w:tblPrEx>
          <w:tblCellMar>
            <w:top w:w="0" w:type="dxa"/>
            <w:bottom w:w="0" w:type="dxa"/>
          </w:tblCellMar>
        </w:tblPrEx>
        <w:trPr>
          <w:trHeight w:val="4101"/>
        </w:trPr>
        <w:tc>
          <w:tcPr>
            <w:tcW w:w="9640" w:type="dxa"/>
          </w:tcPr>
          <w:p w14:paraId="7C921DEC" w14:textId="77777777" w:rsidR="000C5112" w:rsidRDefault="000C5112" w:rsidP="00E36BED"/>
          <w:p w14:paraId="0C92E0CC" w14:textId="77777777" w:rsidR="000C5112" w:rsidRDefault="000C5112" w:rsidP="00E36BED">
            <w:r>
              <w:t xml:space="preserve">                </w:t>
            </w:r>
            <w:r w:rsidRPr="00611C2B">
              <w:rPr>
                <w:noProof/>
                <w:u w:val="single"/>
              </w:rPr>
              <w:drawing>
                <wp:inline distT="0" distB="0" distL="0" distR="0" wp14:anchorId="1FF36A3C" wp14:editId="583F4BEC">
                  <wp:extent cx="1590675" cy="466725"/>
                  <wp:effectExtent l="0" t="0" r="9525" b="9525"/>
                  <wp:docPr id="1276440178" name="Картина 1276440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861476" name="Картина 89286147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C6A189" w14:textId="77777777" w:rsidR="000C5112" w:rsidRDefault="000C5112" w:rsidP="00E36BED"/>
          <w:p w14:paraId="54300426" w14:textId="77777777" w:rsidR="000C5112" w:rsidRDefault="000C5112" w:rsidP="00E36BED">
            <w:pPr>
              <w:rPr>
                <w:b/>
                <w:bCs/>
                <w:sz w:val="32"/>
                <w:szCs w:val="32"/>
              </w:rPr>
            </w:pPr>
            <w:r w:rsidRPr="006F094E">
              <w:rPr>
                <w:b/>
                <w:bCs/>
                <w:sz w:val="32"/>
                <w:szCs w:val="32"/>
              </w:rPr>
              <w:t xml:space="preserve">  ВАЖНО </w:t>
            </w:r>
            <w:r>
              <w:rPr>
                <w:b/>
                <w:bCs/>
                <w:sz w:val="32"/>
                <w:szCs w:val="32"/>
              </w:rPr>
              <w:t>!</w:t>
            </w:r>
          </w:p>
          <w:p w14:paraId="511BF78D" w14:textId="77777777" w:rsidR="000C5112" w:rsidRPr="00407357" w:rsidRDefault="000C5112" w:rsidP="00E36BED">
            <w:pPr>
              <w:jc w:val="both"/>
              <w:rPr>
                <w:sz w:val="24"/>
                <w:szCs w:val="24"/>
              </w:rPr>
            </w:pPr>
            <w:r w:rsidRPr="00407357">
              <w:rPr>
                <w:b/>
                <w:bCs/>
                <w:sz w:val="24"/>
                <w:szCs w:val="24"/>
              </w:rPr>
              <w:t xml:space="preserve">     </w:t>
            </w:r>
            <w:r w:rsidRPr="00407357">
              <w:rPr>
                <w:sz w:val="24"/>
                <w:szCs w:val="24"/>
              </w:rPr>
              <w:t xml:space="preserve">На етапа на кандидатстване с проектно предложение Община Никопол като бенефициент следва да е избрала конкретните сгради и съответно да представи за всяка от тях </w:t>
            </w:r>
            <w:r w:rsidRPr="00407357">
              <w:rPr>
                <w:b/>
                <w:bCs/>
                <w:sz w:val="24"/>
                <w:szCs w:val="24"/>
              </w:rPr>
              <w:t xml:space="preserve">най-малко изготвен технически паспорт , обследване за енергийна ефективност и валиден сертификат за енергийни характеристики на сграда в експлоатация . </w:t>
            </w:r>
          </w:p>
        </w:tc>
      </w:tr>
    </w:tbl>
    <w:p w14:paraId="5880021A" w14:textId="77777777" w:rsidR="009D5646" w:rsidRDefault="009D5646"/>
    <w:p w14:paraId="20F7D2C4" w14:textId="77777777" w:rsidR="009D5646" w:rsidRDefault="009D5646"/>
    <w:p w14:paraId="4F2BA6F4" w14:textId="77777777" w:rsidR="009D5646" w:rsidRDefault="009D5646"/>
    <w:tbl>
      <w:tblPr>
        <w:tblpPr w:leftFromText="141" w:rightFromText="141" w:vertAnchor="text" w:horzAnchor="margin" w:tblpY="130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0C5112" w14:paraId="45445A48" w14:textId="77777777" w:rsidTr="00E36BED">
        <w:tblPrEx>
          <w:tblCellMar>
            <w:top w:w="0" w:type="dxa"/>
            <w:bottom w:w="0" w:type="dxa"/>
          </w:tblCellMar>
        </w:tblPrEx>
        <w:trPr>
          <w:trHeight w:val="5802"/>
        </w:trPr>
        <w:tc>
          <w:tcPr>
            <w:tcW w:w="9640" w:type="dxa"/>
          </w:tcPr>
          <w:p w14:paraId="021F297E" w14:textId="77777777" w:rsidR="000C5112" w:rsidRDefault="000C5112" w:rsidP="000C5112"/>
          <w:p w14:paraId="00877250" w14:textId="77777777" w:rsidR="000C5112" w:rsidRDefault="000C5112" w:rsidP="000C5112">
            <w:r>
              <w:t xml:space="preserve">                   </w:t>
            </w:r>
            <w:r w:rsidRPr="00611C2B">
              <w:rPr>
                <w:noProof/>
                <w:u w:val="single"/>
              </w:rPr>
              <w:drawing>
                <wp:inline distT="0" distB="0" distL="0" distR="0" wp14:anchorId="6A4862E1" wp14:editId="76065310">
                  <wp:extent cx="1590675" cy="466725"/>
                  <wp:effectExtent l="0" t="0" r="9525" b="9525"/>
                  <wp:docPr id="856045908" name="Картина 856045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861476" name="Картина 89286147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3908A1" w14:textId="77777777" w:rsidR="000C5112" w:rsidRDefault="000C5112" w:rsidP="000C5112">
            <w:pPr>
              <w:jc w:val="both"/>
            </w:pPr>
          </w:p>
          <w:p w14:paraId="120D07B7" w14:textId="77777777" w:rsidR="000C5112" w:rsidRDefault="000C5112" w:rsidP="000C5112">
            <w:pPr>
              <w:rPr>
                <w:b/>
                <w:bCs/>
                <w:sz w:val="32"/>
                <w:szCs w:val="32"/>
              </w:rPr>
            </w:pPr>
            <w:r>
              <w:t xml:space="preserve">  </w:t>
            </w:r>
            <w:r w:rsidRPr="0088438F">
              <w:rPr>
                <w:b/>
                <w:bCs/>
                <w:sz w:val="32"/>
                <w:szCs w:val="32"/>
              </w:rPr>
              <w:t>ВАЖНО !</w:t>
            </w:r>
          </w:p>
          <w:p w14:paraId="18EDA830" w14:textId="77777777" w:rsidR="000C5112" w:rsidRPr="0082727C" w:rsidRDefault="000C5112" w:rsidP="000C511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82727C">
              <w:rPr>
                <w:b/>
                <w:bCs/>
                <w:sz w:val="28"/>
                <w:szCs w:val="28"/>
              </w:rPr>
              <w:t>Всички разходи , извършени от крайните получатели/ водещите партньори след 30.06.2023 г. по неприключили проекти , не се изплащат от СНД и следва да се реализират за сметка на водещите партньори .</w:t>
            </w:r>
          </w:p>
          <w:p w14:paraId="7059EF75" w14:textId="77777777" w:rsidR="000C5112" w:rsidRPr="0088438F" w:rsidRDefault="000C5112" w:rsidP="000C5112">
            <w:pPr>
              <w:jc w:val="both"/>
              <w:rPr>
                <w:b/>
                <w:bCs/>
                <w:sz w:val="32"/>
                <w:szCs w:val="32"/>
              </w:rPr>
            </w:pPr>
            <w:r w:rsidRPr="0082727C">
              <w:rPr>
                <w:b/>
                <w:bCs/>
                <w:sz w:val="28"/>
                <w:szCs w:val="28"/>
              </w:rPr>
              <w:t xml:space="preserve">   Всички разходи ще бъдат изплащани до размера на утвърдения общ бюджет на инвестицията . Разходи , надвишаващи този размер , остават за сметка на водещите партньори .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14:paraId="1A5694CA" w14:textId="77777777" w:rsidR="001E0D3A" w:rsidRDefault="001E0D3A"/>
    <w:p w14:paraId="6111677F" w14:textId="77777777" w:rsidR="001E0D3A" w:rsidRDefault="001E0D3A"/>
    <w:p w14:paraId="1B7CF200" w14:textId="77777777" w:rsidR="001E0D3A" w:rsidRDefault="001E0D3A"/>
    <w:p w14:paraId="36AFB95A" w14:textId="77777777" w:rsidR="001E0D3A" w:rsidRDefault="001E0D3A"/>
    <w:p w14:paraId="0B8E8047" w14:textId="77777777" w:rsidR="001E0D3A" w:rsidRDefault="001E0D3A"/>
    <w:p w14:paraId="314B7ED3" w14:textId="77777777" w:rsidR="001E0D3A" w:rsidRDefault="001E0D3A"/>
    <w:p w14:paraId="05D93FA8" w14:textId="77777777" w:rsidR="001E0D3A" w:rsidRDefault="001E0D3A"/>
    <w:p w14:paraId="0E1AFE70" w14:textId="77777777" w:rsidR="009D5646" w:rsidRDefault="009D5646"/>
    <w:p w14:paraId="7B43D5E9" w14:textId="77777777" w:rsidR="00D41FC6" w:rsidRDefault="00D41FC6"/>
    <w:tbl>
      <w:tblPr>
        <w:tblpPr w:leftFromText="141" w:rightFromText="141" w:vertAnchor="text" w:horzAnchor="margin" w:tblpY="-586"/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0C5112" w14:paraId="66B165D3" w14:textId="77777777" w:rsidTr="000C5112">
        <w:tblPrEx>
          <w:tblCellMar>
            <w:top w:w="0" w:type="dxa"/>
            <w:bottom w:w="0" w:type="dxa"/>
          </w:tblCellMar>
        </w:tblPrEx>
        <w:trPr>
          <w:trHeight w:val="6236"/>
        </w:trPr>
        <w:tc>
          <w:tcPr>
            <w:tcW w:w="9203" w:type="dxa"/>
          </w:tcPr>
          <w:p w14:paraId="4BE92BD2" w14:textId="77777777" w:rsidR="000C5112" w:rsidRDefault="000C5112" w:rsidP="000C5112"/>
          <w:p w14:paraId="4B43073B" w14:textId="77777777" w:rsidR="000C5112" w:rsidRDefault="000C5112" w:rsidP="000C5112">
            <w:r>
              <w:t xml:space="preserve">                 </w:t>
            </w:r>
            <w:r w:rsidRPr="00611C2B">
              <w:rPr>
                <w:noProof/>
                <w:u w:val="single"/>
              </w:rPr>
              <w:drawing>
                <wp:inline distT="0" distB="0" distL="0" distR="0" wp14:anchorId="3E9C3C13" wp14:editId="0AB97860">
                  <wp:extent cx="1590675" cy="466725"/>
                  <wp:effectExtent l="0" t="0" r="9525" b="9525"/>
                  <wp:docPr id="521233073" name="Картина 521233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861476" name="Картина 89286147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794A82" w14:textId="77777777" w:rsidR="000C5112" w:rsidRDefault="000C5112" w:rsidP="000C5112">
            <w:pPr>
              <w:rPr>
                <w:b/>
                <w:bCs/>
              </w:rPr>
            </w:pPr>
            <w:r>
              <w:t xml:space="preserve">      </w:t>
            </w:r>
            <w:r w:rsidRPr="00AC2A29">
              <w:rPr>
                <w:b/>
                <w:bCs/>
              </w:rPr>
              <w:t xml:space="preserve">ДОПУСТИМИ КАНДИДАТИ </w:t>
            </w:r>
          </w:p>
          <w:p w14:paraId="792C4287" w14:textId="77777777" w:rsidR="000C5112" w:rsidRDefault="000C5112" w:rsidP="000C5112">
            <w:pPr>
              <w:jc w:val="both"/>
            </w:pPr>
            <w:r>
              <w:t xml:space="preserve">        </w:t>
            </w:r>
            <w:r w:rsidRPr="006C2106">
              <w:t xml:space="preserve">Крайни получатели по настояща процедура са Сдружения на собствениците , регистрирани по ЗУЕС , в допустимите за финансиране сгради , в които самостоятелни обекти са най- малко четири и принадлежат на повече от един собственик . </w:t>
            </w:r>
          </w:p>
          <w:p w14:paraId="32012510" w14:textId="77777777" w:rsidR="000C5112" w:rsidRDefault="000C5112" w:rsidP="000C5112">
            <w:pPr>
              <w:jc w:val="both"/>
              <w:rPr>
                <w:b/>
                <w:bCs/>
              </w:rPr>
            </w:pPr>
            <w:r w:rsidRPr="006C2106">
              <w:rPr>
                <w:b/>
                <w:bCs/>
              </w:rPr>
              <w:t xml:space="preserve">  </w:t>
            </w:r>
          </w:p>
          <w:p w14:paraId="70F79F91" w14:textId="77777777" w:rsidR="000C5112" w:rsidRPr="006C2106" w:rsidRDefault="000C5112" w:rsidP="000C5112">
            <w:pPr>
              <w:jc w:val="both"/>
              <w:rPr>
                <w:b/>
                <w:bCs/>
              </w:rPr>
            </w:pPr>
            <w:r w:rsidRPr="006C2106">
              <w:rPr>
                <w:b/>
                <w:bCs/>
              </w:rPr>
              <w:t xml:space="preserve">Предложение за изпълнение на инвестиция </w:t>
            </w:r>
            <w:r>
              <w:rPr>
                <w:b/>
                <w:bCs/>
              </w:rPr>
              <w:t xml:space="preserve">  по настоящата процедура могат да бъдат подавани само в партньорство с общинска администрация на общината или районната администрация на района , където се намира сградата. Общинската/районната администрация ще бъде водещ партньор в проекта и ще изпълнява функциите по неговото административно и финансово управление , както  и отчитането му пред СНД . В настоящата схема е допустимо една общинска/районна администрация да участва с повече от едно проектно предложение , при условие , че не е за една и съща сграда/блок-секция / група от блок-секции. В едно проектно предложение не може бъде включена сграда. </w:t>
            </w:r>
          </w:p>
        </w:tc>
      </w:tr>
    </w:tbl>
    <w:p w14:paraId="1B1F3912" w14:textId="77777777" w:rsidR="00611C2B" w:rsidRDefault="00611C2B"/>
    <w:p w14:paraId="1B8715EB" w14:textId="77777777" w:rsidR="00611C2B" w:rsidRDefault="00611C2B"/>
    <w:p w14:paraId="1A5D9B75" w14:textId="77777777" w:rsidR="00611C2B" w:rsidRDefault="00611C2B"/>
    <w:tbl>
      <w:tblPr>
        <w:tblpPr w:leftFromText="141" w:rightFromText="141" w:vertAnchor="text" w:horzAnchor="margin" w:tblpY="5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0C5112" w14:paraId="48AD668A" w14:textId="77777777" w:rsidTr="000C5112">
        <w:tblPrEx>
          <w:tblCellMar>
            <w:top w:w="0" w:type="dxa"/>
            <w:bottom w:w="0" w:type="dxa"/>
          </w:tblCellMar>
        </w:tblPrEx>
        <w:trPr>
          <w:trHeight w:val="4677"/>
        </w:trPr>
        <w:tc>
          <w:tcPr>
            <w:tcW w:w="9360" w:type="dxa"/>
          </w:tcPr>
          <w:p w14:paraId="33E56CF7" w14:textId="77777777" w:rsidR="000C5112" w:rsidRDefault="000C5112" w:rsidP="000C5112"/>
          <w:p w14:paraId="039214A1" w14:textId="77777777" w:rsidR="000C5112" w:rsidRDefault="000C5112" w:rsidP="000C5112">
            <w:r>
              <w:t xml:space="preserve">          </w:t>
            </w:r>
            <w:r w:rsidRPr="00611C2B">
              <w:rPr>
                <w:noProof/>
                <w:u w:val="single"/>
              </w:rPr>
              <w:drawing>
                <wp:inline distT="0" distB="0" distL="0" distR="0" wp14:anchorId="3F43A7BB" wp14:editId="2186847B">
                  <wp:extent cx="1590675" cy="466725"/>
                  <wp:effectExtent l="0" t="0" r="9525" b="9525"/>
                  <wp:docPr id="1524807719" name="Картина 1524807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861476" name="Картина 89286147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2E1040" w14:textId="77777777" w:rsidR="000C5112" w:rsidRDefault="000C5112" w:rsidP="000C5112">
            <w:pPr>
              <w:rPr>
                <w:b/>
                <w:bCs/>
                <w:sz w:val="28"/>
                <w:szCs w:val="28"/>
              </w:rPr>
            </w:pPr>
            <w:r>
              <w:t xml:space="preserve">      </w:t>
            </w:r>
            <w:r w:rsidRPr="00407B63">
              <w:rPr>
                <w:b/>
                <w:bCs/>
                <w:sz w:val="28"/>
                <w:szCs w:val="28"/>
              </w:rPr>
              <w:t xml:space="preserve"> СТЪПКИ </w:t>
            </w:r>
          </w:p>
          <w:p w14:paraId="00321DBA" w14:textId="77777777" w:rsidR="000C5112" w:rsidRDefault="000C5112" w:rsidP="000C51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Стъпка 1</w:t>
            </w:r>
          </w:p>
          <w:p w14:paraId="1DAB1E12" w14:textId="77777777" w:rsidR="000C5112" w:rsidRPr="00407B63" w:rsidRDefault="000C5112" w:rsidP="000C5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407B63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 xml:space="preserve">на коректно подадени и попълнени документи от страна на Сдружението на собственици , регистрирани в община Никопол по законоустановения ред. Заявлението представлява </w:t>
            </w:r>
            <w:r w:rsidRPr="001922AB">
              <w:rPr>
                <w:b/>
                <w:bCs/>
                <w:sz w:val="24"/>
                <w:szCs w:val="24"/>
              </w:rPr>
              <w:t>ЗАЯВЛЕНИЕ ЗА УЧАСТИЕ ПО ПРОЦЕДУРА „ПОДКРЕПА ЗА УСТОЙЧИВО И ЕНЕРГИЙНО ОБНОВЯВАНЕ НА ЖИЛИЩНИЯ СГРАДЕН ФОНД – ЕТАП 1 „ ДО ОБЩИНА/ РАЙОННА АДМИНИСТРАЦИЯ НИКОПОЛ.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5792B1E" w14:textId="77777777" w:rsidR="00611C2B" w:rsidRDefault="00611C2B"/>
    <w:tbl>
      <w:tblPr>
        <w:tblpPr w:leftFromText="141" w:rightFromText="141" w:vertAnchor="page" w:horzAnchor="margin" w:tblpY="1173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FD4007" w14:paraId="4B309B54" w14:textId="77777777" w:rsidTr="00FD4007">
        <w:tblPrEx>
          <w:tblCellMar>
            <w:top w:w="0" w:type="dxa"/>
            <w:bottom w:w="0" w:type="dxa"/>
          </w:tblCellMar>
        </w:tblPrEx>
        <w:trPr>
          <w:trHeight w:val="5377"/>
        </w:trPr>
        <w:tc>
          <w:tcPr>
            <w:tcW w:w="9630" w:type="dxa"/>
          </w:tcPr>
          <w:p w14:paraId="6B820BC7" w14:textId="77777777" w:rsidR="00FD4007" w:rsidRDefault="00FD4007" w:rsidP="00FD4007"/>
          <w:p w14:paraId="770AAFA0" w14:textId="77777777" w:rsidR="00FD4007" w:rsidRDefault="00FD4007" w:rsidP="00FD4007">
            <w:r>
              <w:t xml:space="preserve">                </w:t>
            </w:r>
            <w:r w:rsidRPr="00611C2B">
              <w:rPr>
                <w:noProof/>
                <w:u w:val="single"/>
              </w:rPr>
              <w:drawing>
                <wp:inline distT="0" distB="0" distL="0" distR="0" wp14:anchorId="22C3D250" wp14:editId="4D681703">
                  <wp:extent cx="1590675" cy="466725"/>
                  <wp:effectExtent l="0" t="0" r="9525" b="9525"/>
                  <wp:docPr id="1883787189" name="Картина 1883787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861476" name="Картина 89286147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008156" w14:textId="77777777" w:rsidR="00FD4007" w:rsidRDefault="00FD4007" w:rsidP="00FD4007"/>
          <w:p w14:paraId="5E6EB5F4" w14:textId="77777777" w:rsidR="00FD4007" w:rsidRDefault="00FD4007" w:rsidP="00FD4007">
            <w:pPr>
              <w:rPr>
                <w:b/>
                <w:bCs/>
                <w:sz w:val="28"/>
                <w:szCs w:val="28"/>
              </w:rPr>
            </w:pPr>
            <w: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Стъпка 2 </w:t>
            </w:r>
          </w:p>
          <w:p w14:paraId="58473944" w14:textId="77777777" w:rsidR="00FD4007" w:rsidRDefault="00FD4007" w:rsidP="00FD4007">
            <w:r>
              <w:t xml:space="preserve">                 С протокол от общото събрание Сдружението взима решение да осигури достъп до всички апартаменти в сградата . В протокола също така се дава съгласие за изпълнение на дейностите , предписани от техническото обследване и обследването на енергийна ефективност , вземат решение за кандидатстване и за сключване на договор между Сдружението и Общината , както и за определяне на лице  / техническо лице или представляващия сдружението / което да бъде упълномощено да упражнява контрол при изпълнение на СМР. </w:t>
            </w:r>
          </w:p>
          <w:p w14:paraId="3F6CC78F" w14:textId="77777777" w:rsidR="00FD4007" w:rsidRPr="00CD6B90" w:rsidRDefault="00FD4007" w:rsidP="00FD4007">
            <w:pPr>
              <w:rPr>
                <w:b/>
                <w:bCs/>
              </w:rPr>
            </w:pPr>
            <w:r w:rsidRPr="00CD6B90">
              <w:rPr>
                <w:b/>
                <w:bCs/>
              </w:rPr>
              <w:t xml:space="preserve"> ВАЖНО ! </w:t>
            </w:r>
            <w:r>
              <w:rPr>
                <w:b/>
                <w:bCs/>
              </w:rPr>
              <w:t xml:space="preserve">Когато сдружението не е учредено от всички собственици , нечленуващите собственици заявяват съгласието си с отделна декларация по образец . </w:t>
            </w:r>
          </w:p>
        </w:tc>
      </w:tr>
    </w:tbl>
    <w:p w14:paraId="2A6D7391" w14:textId="77777777" w:rsidR="00611C2B" w:rsidRDefault="00611C2B"/>
    <w:tbl>
      <w:tblPr>
        <w:tblpPr w:leftFromText="141" w:rightFromText="141" w:vertAnchor="text" w:horzAnchor="margin" w:tblpY="72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FD4007" w14:paraId="39FB47D1" w14:textId="77777777" w:rsidTr="00FD4007">
        <w:tblPrEx>
          <w:tblCellMar>
            <w:top w:w="0" w:type="dxa"/>
            <w:bottom w:w="0" w:type="dxa"/>
          </w:tblCellMar>
        </w:tblPrEx>
        <w:trPr>
          <w:trHeight w:val="5802"/>
        </w:trPr>
        <w:tc>
          <w:tcPr>
            <w:tcW w:w="9634" w:type="dxa"/>
          </w:tcPr>
          <w:p w14:paraId="6405871C" w14:textId="77777777" w:rsidR="00FD4007" w:rsidRDefault="00FD4007" w:rsidP="00FD4007"/>
          <w:p w14:paraId="431D234D" w14:textId="77777777" w:rsidR="00FD4007" w:rsidRDefault="00FD4007" w:rsidP="00FD4007">
            <w:r>
              <w:t xml:space="preserve">                  </w:t>
            </w:r>
            <w:r w:rsidRPr="00611C2B">
              <w:rPr>
                <w:noProof/>
                <w:u w:val="single"/>
              </w:rPr>
              <w:drawing>
                <wp:inline distT="0" distB="0" distL="0" distR="0" wp14:anchorId="77FEF590" wp14:editId="0B1F90F3">
                  <wp:extent cx="1590675" cy="466725"/>
                  <wp:effectExtent l="0" t="0" r="9525" b="9525"/>
                  <wp:docPr id="1080923155" name="Картина 1080923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861476" name="Картина 89286147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E00A8D" w14:textId="77777777" w:rsidR="00FD4007" w:rsidRDefault="00FD4007" w:rsidP="00FD4007"/>
          <w:p w14:paraId="6101AB4C" w14:textId="77777777" w:rsidR="00FD4007" w:rsidRDefault="00FD4007" w:rsidP="00FD4007">
            <w:pPr>
              <w:rPr>
                <w:b/>
                <w:bCs/>
                <w:sz w:val="28"/>
                <w:szCs w:val="28"/>
              </w:rPr>
            </w:pPr>
            <w:r w:rsidRPr="00CD6B90">
              <w:rPr>
                <w:b/>
                <w:bCs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>Стъпка 3</w:t>
            </w:r>
          </w:p>
          <w:p w14:paraId="181567EA" w14:textId="77777777" w:rsidR="00FD4007" w:rsidRDefault="00FD4007" w:rsidP="00FD400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Pr="00CD6B90">
              <w:rPr>
                <w:sz w:val="24"/>
                <w:szCs w:val="24"/>
              </w:rPr>
              <w:t>Сдружението на собствениците подава заявление за участие по</w:t>
            </w:r>
            <w:r>
              <w:rPr>
                <w:sz w:val="28"/>
                <w:szCs w:val="28"/>
              </w:rPr>
              <w:t xml:space="preserve">  </w:t>
            </w:r>
            <w:r w:rsidRPr="001922AB">
              <w:rPr>
                <w:b/>
                <w:bCs/>
                <w:sz w:val="24"/>
                <w:szCs w:val="24"/>
              </w:rPr>
              <w:t>ПРОЦЕДУРА „ПОДКРЕПА ЗА УСТОЙЧИВО И ЕНЕРГИЙНО ОБНОВЯВАНЕ НА ЖИЛИЩНИЯ СГРАДЕН ФОНД – ЕТАП 1 „ ДО ОБЩИНА/ РАЙОННА АДМИНИСТРАЦИЯ НИКОПОЛ.</w:t>
            </w:r>
          </w:p>
          <w:p w14:paraId="084045AB" w14:textId="77777777" w:rsidR="00FD4007" w:rsidRDefault="00FD4007" w:rsidP="00FD4007">
            <w:pPr>
              <w:pStyle w:val="a7"/>
              <w:numPr>
                <w:ilvl w:val="0"/>
                <w:numId w:val="1"/>
              </w:numPr>
              <w:jc w:val="both"/>
              <w:rPr>
                <w:i/>
                <w:iCs/>
              </w:rPr>
            </w:pPr>
            <w:r w:rsidRPr="00CD6B90">
              <w:rPr>
                <w:i/>
                <w:iCs/>
              </w:rPr>
              <w:t>Попълват се документи по образец.</w:t>
            </w:r>
          </w:p>
          <w:p w14:paraId="24BD5371" w14:textId="77777777" w:rsidR="00FD4007" w:rsidRDefault="00FD4007" w:rsidP="00FD4007">
            <w:pPr>
              <w:rPr>
                <w:b/>
                <w:bCs/>
                <w:sz w:val="28"/>
                <w:szCs w:val="28"/>
              </w:rPr>
            </w:pPr>
            <w:r w:rsidRPr="00CD6B90">
              <w:rPr>
                <w:b/>
                <w:bCs/>
                <w:sz w:val="28"/>
                <w:szCs w:val="28"/>
              </w:rPr>
              <w:t>Стъпка</w:t>
            </w:r>
            <w:r>
              <w:rPr>
                <w:b/>
                <w:bCs/>
                <w:sz w:val="28"/>
                <w:szCs w:val="28"/>
              </w:rPr>
              <w:t xml:space="preserve"> 4 </w:t>
            </w:r>
          </w:p>
          <w:p w14:paraId="0E36D0DF" w14:textId="77777777" w:rsidR="00FD4007" w:rsidRDefault="00FD4007" w:rsidP="00FD4007">
            <w:pPr>
              <w:jc w:val="both"/>
            </w:pPr>
            <w:r>
              <w:rPr>
                <w:i/>
                <w:iCs/>
              </w:rPr>
              <w:t xml:space="preserve">           </w:t>
            </w:r>
            <w:r>
              <w:t>Общината осъществява приема на документи и ги проверява . За отстраняване на пропуски може да бъде изискана допълнителна информация или документ.</w:t>
            </w:r>
          </w:p>
          <w:p w14:paraId="67F7C50A" w14:textId="77777777" w:rsidR="00FD4007" w:rsidRDefault="00FD4007" w:rsidP="00FD4007">
            <w:pPr>
              <w:jc w:val="both"/>
            </w:pPr>
            <w:r>
              <w:t xml:space="preserve"> </w:t>
            </w:r>
          </w:p>
          <w:p w14:paraId="274EFC28" w14:textId="77777777" w:rsidR="00FD4007" w:rsidRDefault="00FD4007" w:rsidP="00FD4007">
            <w:pPr>
              <w:jc w:val="both"/>
            </w:pPr>
            <w:r>
              <w:t xml:space="preserve">    </w:t>
            </w:r>
          </w:p>
          <w:p w14:paraId="1C2C571C" w14:textId="77777777" w:rsidR="00FD4007" w:rsidRPr="008E4EA3" w:rsidRDefault="00FD4007" w:rsidP="00FD4007">
            <w:r>
              <w:t xml:space="preserve">       </w:t>
            </w:r>
          </w:p>
          <w:p w14:paraId="6C169912" w14:textId="77777777" w:rsidR="00FD4007" w:rsidRPr="00CD6B90" w:rsidRDefault="00FD4007" w:rsidP="00FD400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CD6B90">
              <w:rPr>
                <w:i/>
                <w:iCs/>
              </w:rPr>
              <w:t xml:space="preserve"> </w:t>
            </w:r>
          </w:p>
        </w:tc>
      </w:tr>
    </w:tbl>
    <w:p w14:paraId="5D5F11D3" w14:textId="77777777" w:rsidR="00D41FC6" w:rsidRDefault="00D41FC6"/>
    <w:p w14:paraId="623BBCF3" w14:textId="77777777" w:rsidR="001E0D3A" w:rsidRDefault="001E0D3A"/>
    <w:p w14:paraId="5000042D" w14:textId="77777777" w:rsidR="001E0D3A" w:rsidRDefault="001E0D3A"/>
    <w:tbl>
      <w:tblPr>
        <w:tblpPr w:leftFromText="141" w:rightFromText="141" w:vertAnchor="text" w:horzAnchor="margin" w:tblpY="-39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94670D" w14:paraId="63D72CB6" w14:textId="77777777" w:rsidTr="0094670D">
        <w:tblPrEx>
          <w:tblCellMar>
            <w:top w:w="0" w:type="dxa"/>
            <w:bottom w:w="0" w:type="dxa"/>
          </w:tblCellMar>
        </w:tblPrEx>
        <w:trPr>
          <w:trHeight w:val="4140"/>
        </w:trPr>
        <w:tc>
          <w:tcPr>
            <w:tcW w:w="9285" w:type="dxa"/>
          </w:tcPr>
          <w:p w14:paraId="7CEB93FF" w14:textId="77777777" w:rsidR="0094670D" w:rsidRDefault="0094670D" w:rsidP="0094670D">
            <w:pPr>
              <w:ind w:left="-8"/>
              <w:rPr>
                <w:b/>
                <w:bCs/>
              </w:rPr>
            </w:pPr>
          </w:p>
          <w:p w14:paraId="749990F3" w14:textId="77777777" w:rsidR="0094670D" w:rsidRDefault="0094670D" w:rsidP="0094670D">
            <w:pPr>
              <w:ind w:left="-8"/>
            </w:pPr>
            <w:r>
              <w:rPr>
                <w:b/>
                <w:bCs/>
              </w:rPr>
              <w:t xml:space="preserve">    </w:t>
            </w:r>
            <w:r>
              <w:t xml:space="preserve">          </w:t>
            </w:r>
            <w:r w:rsidRPr="00611C2B">
              <w:rPr>
                <w:noProof/>
                <w:u w:val="single"/>
              </w:rPr>
              <w:drawing>
                <wp:inline distT="0" distB="0" distL="0" distR="0" wp14:anchorId="50DB21F3" wp14:editId="01B24D55">
                  <wp:extent cx="1590675" cy="466725"/>
                  <wp:effectExtent l="0" t="0" r="9525" b="9525"/>
                  <wp:docPr id="801291817" name="Картина 801291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861476" name="Картина 89286147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5AA919" w14:textId="77777777" w:rsidR="0094670D" w:rsidRDefault="0094670D" w:rsidP="0094670D">
            <w:pPr>
              <w:ind w:left="-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CD6B90">
              <w:rPr>
                <w:b/>
                <w:bCs/>
                <w:sz w:val="28"/>
                <w:szCs w:val="28"/>
              </w:rPr>
              <w:t>Стъпка</w:t>
            </w:r>
            <w:r>
              <w:rPr>
                <w:b/>
                <w:bCs/>
                <w:sz w:val="28"/>
                <w:szCs w:val="28"/>
              </w:rPr>
              <w:t xml:space="preserve"> 5 </w:t>
            </w:r>
          </w:p>
          <w:p w14:paraId="2B15F070" w14:textId="77777777" w:rsidR="0094670D" w:rsidRDefault="0094670D" w:rsidP="0094670D">
            <w:pPr>
              <w:ind w:left="-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</w:p>
          <w:p w14:paraId="03B5AFB0" w14:textId="77777777" w:rsidR="0094670D" w:rsidRPr="008E4EA3" w:rsidRDefault="0094670D" w:rsidP="0094670D">
            <w:pPr>
              <w:ind w:left="-8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8E4EA3">
              <w:rPr>
                <w:sz w:val="24"/>
                <w:szCs w:val="24"/>
              </w:rPr>
              <w:t xml:space="preserve">СС  сключват договор с Общината , с който се дава мандат на общината в лицето на кмета да извърши действия по осигуряването на необходимия ресурс за обновяване на сградата и организиране на всички дейности по обновяването – </w:t>
            </w:r>
            <w:r w:rsidRPr="008E4EA3">
              <w:rPr>
                <w:i/>
                <w:iCs/>
                <w:sz w:val="24"/>
                <w:szCs w:val="24"/>
              </w:rPr>
              <w:t xml:space="preserve">попълват се документи по образец . </w:t>
            </w:r>
          </w:p>
          <w:p w14:paraId="6C21B2D9" w14:textId="77777777" w:rsidR="0094670D" w:rsidRDefault="0094670D" w:rsidP="0094670D">
            <w:pPr>
              <w:ind w:left="-8"/>
            </w:pPr>
            <w:r>
              <w:t xml:space="preserve">    </w:t>
            </w:r>
          </w:p>
        </w:tc>
      </w:tr>
    </w:tbl>
    <w:p w14:paraId="27B3CAE1" w14:textId="77777777" w:rsidR="001E0D3A" w:rsidRDefault="001E0D3A"/>
    <w:p w14:paraId="01837617" w14:textId="77777777" w:rsidR="001E0D3A" w:rsidRDefault="001E0D3A"/>
    <w:p w14:paraId="1DC9B4F6" w14:textId="77777777" w:rsidR="001E0D3A" w:rsidRDefault="001E0D3A"/>
    <w:tbl>
      <w:tblPr>
        <w:tblpPr w:leftFromText="141" w:rightFromText="141" w:vertAnchor="text" w:horzAnchor="margin" w:tblpY="11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4670D" w14:paraId="360A0F80" w14:textId="77777777" w:rsidTr="0094670D">
        <w:tblPrEx>
          <w:tblCellMar>
            <w:top w:w="0" w:type="dxa"/>
            <w:bottom w:w="0" w:type="dxa"/>
          </w:tblCellMar>
        </w:tblPrEx>
        <w:trPr>
          <w:trHeight w:val="6369"/>
        </w:trPr>
        <w:tc>
          <w:tcPr>
            <w:tcW w:w="9351" w:type="dxa"/>
          </w:tcPr>
          <w:p w14:paraId="3D07B757" w14:textId="77777777" w:rsidR="0094670D" w:rsidRDefault="0094670D" w:rsidP="0094670D">
            <w:pPr>
              <w:rPr>
                <w:b/>
                <w:bCs/>
              </w:rPr>
            </w:pPr>
          </w:p>
          <w:p w14:paraId="6C116689" w14:textId="77777777" w:rsidR="0094670D" w:rsidRDefault="0094670D" w:rsidP="009467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Pr="00611C2B">
              <w:rPr>
                <w:noProof/>
                <w:u w:val="single"/>
              </w:rPr>
              <w:drawing>
                <wp:inline distT="0" distB="0" distL="0" distR="0" wp14:anchorId="3B017FAF" wp14:editId="438C42C7">
                  <wp:extent cx="1590675" cy="466725"/>
                  <wp:effectExtent l="0" t="0" r="9525" b="9525"/>
                  <wp:docPr id="1450619460" name="Картина 1450619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861476" name="Картина 89286147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977F1E" w14:textId="77777777" w:rsidR="0094670D" w:rsidRDefault="0094670D" w:rsidP="009467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14:paraId="38F48AB9" w14:textId="77777777" w:rsidR="0094670D" w:rsidRDefault="0094670D" w:rsidP="0094670D">
            <w:pPr>
              <w:rPr>
                <w:b/>
                <w:bCs/>
              </w:rPr>
            </w:pPr>
          </w:p>
          <w:p w14:paraId="7D2B2AAB" w14:textId="77777777" w:rsidR="0094670D" w:rsidRDefault="0094670D" w:rsidP="0094670D">
            <w:pPr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</w:rPr>
              <w:t xml:space="preserve">   Информация за процедурата , начина на кандидатстване и образците на необходимите документи е налична на интернет страницата на сайта ИСУН </w:t>
            </w:r>
            <w:hyperlink r:id="rId11" w:history="1">
              <w:r w:rsidRPr="004A684B">
                <w:rPr>
                  <w:rStyle w:val="a8"/>
                  <w:b/>
                  <w:bCs/>
                </w:rPr>
                <w:t>https://eumis2020.government.bg/</w:t>
              </w:r>
            </w:hyperlink>
            <w:r>
              <w:rPr>
                <w:b/>
                <w:bCs/>
              </w:rPr>
              <w:t xml:space="preserve">   В Меню  </w:t>
            </w:r>
            <w:hyperlink r:id="rId12" w:history="1">
              <w:r w:rsidRPr="008C2FDF">
                <w:rPr>
                  <w:rFonts w:ascii="Roboto" w:hAnsi="Roboto"/>
                  <w:color w:val="4472C4" w:themeColor="accent1"/>
                  <w:sz w:val="21"/>
                  <w:szCs w:val="21"/>
                  <w:u w:val="single"/>
                </w:rPr>
                <w:t> Национален план за възстановяване и устойчивост (11)</w:t>
              </w:r>
            </w:hyperlink>
            <w:r w:rsidRPr="008C2FDF">
              <w:rPr>
                <w:b/>
                <w:bCs/>
                <w:color w:val="4472C4" w:themeColor="accent1"/>
              </w:rPr>
              <w:t xml:space="preserve"> </w:t>
            </w:r>
            <w:r w:rsidRPr="008C2FDF">
              <w:rPr>
                <w:b/>
                <w:bCs/>
                <w:color w:val="000000" w:themeColor="text1"/>
              </w:rPr>
              <w:t>раздел</w:t>
            </w:r>
            <w:r>
              <w:rPr>
                <w:b/>
                <w:bCs/>
                <w:color w:val="4472C4" w:themeColor="accent1"/>
              </w:rPr>
              <w:t xml:space="preserve"> „</w:t>
            </w:r>
            <w:r w:rsidRPr="00436B74">
              <w:rPr>
                <w:b/>
                <w:bCs/>
                <w:color w:val="000000" w:themeColor="text1"/>
                <w:lang w:val="en-US"/>
              </w:rPr>
              <w:t>BG-RRP -4.023-</w:t>
            </w:r>
            <w:r w:rsidRPr="00436B74">
              <w:rPr>
                <w:b/>
                <w:bCs/>
                <w:color w:val="000000" w:themeColor="text1"/>
              </w:rPr>
              <w:t>ПОДКРЕПА ЗА УСТОЙЧИВО ЕНЕРГИЙНО ОБНОВЯВАНЕ НА ЖИЛИЩНИЯ СГРАДЕН ФОНД – ЕТАП 1</w:t>
            </w:r>
            <w:r>
              <w:rPr>
                <w:b/>
                <w:bCs/>
                <w:color w:val="4472C4" w:themeColor="accent1"/>
              </w:rPr>
              <w:t xml:space="preserve">“  </w:t>
            </w:r>
            <w:hyperlink r:id="rId13" w:history="1">
              <w:r w:rsidRPr="004A684B">
                <w:rPr>
                  <w:rStyle w:val="a8"/>
                  <w:b/>
                  <w:bCs/>
                </w:rPr>
                <w:t>https://eumis2020.government.bg/bg/s/Procedure/Info/dbc86350-cccd-414a-a175-a1d440952525</w:t>
              </w:r>
            </w:hyperlink>
          </w:p>
          <w:p w14:paraId="187AB98B" w14:textId="223332FD" w:rsidR="0094670D" w:rsidRPr="0094670D" w:rsidRDefault="0094670D" w:rsidP="0094670D">
            <w:pPr>
              <w:rPr>
                <w:b/>
                <w:bCs/>
                <w:color w:val="4472C4" w:themeColor="accent1"/>
                <w:lang w:val="en-US"/>
              </w:rPr>
            </w:pPr>
            <w:r>
              <w:rPr>
                <w:b/>
                <w:bCs/>
                <w:color w:val="4472C4" w:themeColor="accent1"/>
              </w:rPr>
              <w:t xml:space="preserve"> </w:t>
            </w:r>
            <w:r>
              <w:rPr>
                <w:b/>
                <w:bCs/>
                <w:color w:val="4472C4" w:themeColor="accent1"/>
                <w:lang w:val="en-US"/>
              </w:rPr>
              <w:t xml:space="preserve"> </w:t>
            </w:r>
            <w:r w:rsidRPr="0094670D">
              <w:rPr>
                <w:b/>
                <w:bCs/>
                <w:color w:val="000000" w:themeColor="text1"/>
              </w:rPr>
              <w:t>и</w:t>
            </w:r>
            <w:r>
              <w:rPr>
                <w:b/>
                <w:bCs/>
                <w:color w:val="4472C4" w:themeColor="accent1"/>
              </w:rPr>
              <w:t xml:space="preserve"> </w:t>
            </w:r>
            <w:r w:rsidRPr="0094670D">
              <w:rPr>
                <w:b/>
                <w:bCs/>
                <w:color w:val="000000" w:themeColor="text1"/>
              </w:rPr>
              <w:t xml:space="preserve">на официалния сайт на Община Никопол </w:t>
            </w:r>
            <w:r>
              <w:t xml:space="preserve"> </w:t>
            </w:r>
            <w:hyperlink r:id="rId14" w:history="1">
              <w:r w:rsidRPr="00FF5BCD">
                <w:rPr>
                  <w:rStyle w:val="a8"/>
                  <w:b/>
                  <w:bCs/>
                </w:rPr>
                <w:t>https://www.nikopol-bg.com/</w:t>
              </w:r>
            </w:hyperlink>
            <w:r>
              <w:rPr>
                <w:b/>
                <w:bCs/>
                <w:color w:val="000000" w:themeColor="text1"/>
                <w:lang w:val="en-US"/>
              </w:rPr>
              <w:t xml:space="preserve"> </w:t>
            </w:r>
          </w:p>
          <w:p w14:paraId="372CD746" w14:textId="77777777" w:rsidR="0094670D" w:rsidRDefault="0094670D" w:rsidP="009467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  <w:p w14:paraId="4E4B60BC" w14:textId="77777777" w:rsidR="0094670D" w:rsidRDefault="0094670D" w:rsidP="0094670D">
            <w:pPr>
              <w:rPr>
                <w:b/>
                <w:bCs/>
              </w:rPr>
            </w:pPr>
          </w:p>
          <w:p w14:paraId="3CCAF100" w14:textId="77777777" w:rsidR="0094670D" w:rsidRDefault="0094670D" w:rsidP="0094670D">
            <w:pPr>
              <w:rPr>
                <w:b/>
                <w:bCs/>
              </w:rPr>
            </w:pPr>
          </w:p>
          <w:p w14:paraId="508C6BA2" w14:textId="77777777" w:rsidR="0094670D" w:rsidRPr="006C4D22" w:rsidRDefault="0094670D" w:rsidP="009467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</w:t>
            </w:r>
            <w:r w:rsidRPr="004504A0">
              <w:rPr>
                <w:rFonts w:ascii="Calibri" w:hAnsi="Calibri" w:cs="Calibri"/>
                <w:b/>
                <w:bCs/>
              </w:rPr>
              <w:t>ИЗГОТВИЛ</w:t>
            </w:r>
            <w:r>
              <w:rPr>
                <w:b/>
                <w:bCs/>
              </w:rPr>
              <w:t xml:space="preserve"> : </w:t>
            </w:r>
            <w:r w:rsidRPr="004504A0">
              <w:rPr>
                <w:b/>
                <w:bCs/>
                <w:i/>
                <w:iCs/>
              </w:rPr>
              <w:t>ОБЩИНА НИКОПОЛ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710BC17D" w14:textId="77777777" w:rsidR="001E0D3A" w:rsidRDefault="001E0D3A"/>
    <w:p w14:paraId="160BA010" w14:textId="77777777" w:rsidR="001E0D3A" w:rsidRDefault="001E0D3A"/>
    <w:p w14:paraId="74C6784E" w14:textId="77777777" w:rsidR="001E0D3A" w:rsidRDefault="001E0D3A"/>
    <w:p w14:paraId="5BF06484" w14:textId="6F670F53" w:rsidR="001E0D3A" w:rsidRPr="001E0D3A" w:rsidRDefault="001E0D3A" w:rsidP="001E0D3A">
      <w:pPr>
        <w:jc w:val="right"/>
        <w:rPr>
          <w:b/>
          <w:bCs/>
          <w:sz w:val="24"/>
          <w:szCs w:val="24"/>
        </w:rPr>
      </w:pPr>
    </w:p>
    <w:p w14:paraId="453F824E" w14:textId="77777777" w:rsidR="00D41FC6" w:rsidRDefault="00D41FC6"/>
    <w:p w14:paraId="124D7142" w14:textId="77777777" w:rsidR="0088438F" w:rsidRDefault="0088438F"/>
    <w:p w14:paraId="2A1CA39A" w14:textId="77777777" w:rsidR="0088438F" w:rsidRDefault="0088438F"/>
    <w:p w14:paraId="7A621E8C" w14:textId="77777777" w:rsidR="00AC2A29" w:rsidRDefault="00AC2A29"/>
    <w:p w14:paraId="6BF2A7E2" w14:textId="77777777" w:rsidR="00AC2A29" w:rsidRDefault="00AC2A29"/>
    <w:p w14:paraId="15B89965" w14:textId="77777777" w:rsidR="0088438F" w:rsidRPr="001E0D3A" w:rsidRDefault="0088438F">
      <w:pPr>
        <w:rPr>
          <w:b/>
          <w:bCs/>
          <w:sz w:val="24"/>
          <w:szCs w:val="24"/>
        </w:rPr>
      </w:pPr>
    </w:p>
    <w:p w14:paraId="15341BE4" w14:textId="77777777" w:rsidR="00AC2A29" w:rsidRDefault="00AC2A29"/>
    <w:p w14:paraId="36D0CE22" w14:textId="77777777" w:rsidR="00AC2A29" w:rsidRDefault="00AC2A29"/>
    <w:p w14:paraId="7CE6447B" w14:textId="77777777" w:rsidR="00AC2A29" w:rsidRDefault="00AC2A29"/>
    <w:p w14:paraId="5802732F" w14:textId="77777777" w:rsidR="001922AB" w:rsidRDefault="001922AB"/>
    <w:p w14:paraId="1DE4D163" w14:textId="77777777" w:rsidR="001E0D3A" w:rsidRDefault="001E0D3A"/>
    <w:p w14:paraId="654646B9" w14:textId="129ADDA9" w:rsidR="001E0D3A" w:rsidRPr="001E0D3A" w:rsidRDefault="001E0D3A" w:rsidP="001E0D3A">
      <w:pPr>
        <w:jc w:val="right"/>
        <w:rPr>
          <w:b/>
          <w:bCs/>
          <w:sz w:val="24"/>
          <w:szCs w:val="24"/>
        </w:rPr>
      </w:pPr>
    </w:p>
    <w:p w14:paraId="1A7CA889" w14:textId="77777777" w:rsidR="001922AB" w:rsidRDefault="001922AB"/>
    <w:p w14:paraId="3DFC228D" w14:textId="77777777" w:rsidR="00CD6B90" w:rsidRDefault="00CD6B90"/>
    <w:p w14:paraId="3180440D" w14:textId="77777777" w:rsidR="00CD6B90" w:rsidRDefault="00CD6B90"/>
    <w:p w14:paraId="02D5D5B9" w14:textId="77777777" w:rsidR="001E0D3A" w:rsidRDefault="001E0D3A"/>
    <w:p w14:paraId="7B9EE8C6" w14:textId="77777777" w:rsidR="001E0D3A" w:rsidRDefault="001E0D3A"/>
    <w:p w14:paraId="4466794B" w14:textId="77777777" w:rsidR="001E0D3A" w:rsidRDefault="001E0D3A"/>
    <w:p w14:paraId="294C566F" w14:textId="77777777" w:rsidR="001E0D3A" w:rsidRDefault="001E0D3A"/>
    <w:p w14:paraId="439C7D19" w14:textId="77777777" w:rsidR="001E0D3A" w:rsidRDefault="001E0D3A"/>
    <w:p w14:paraId="49E2B5E7" w14:textId="77777777" w:rsidR="001E0D3A" w:rsidRDefault="001E0D3A"/>
    <w:p w14:paraId="7668287D" w14:textId="77777777" w:rsidR="001E0D3A" w:rsidRDefault="001E0D3A"/>
    <w:p w14:paraId="5EC88648" w14:textId="77777777" w:rsidR="001E0D3A" w:rsidRDefault="001E0D3A"/>
    <w:p w14:paraId="6A4E1C46" w14:textId="77777777" w:rsidR="001E0D3A" w:rsidRDefault="001E0D3A"/>
    <w:p w14:paraId="730536FF" w14:textId="77777777" w:rsidR="001E0D3A" w:rsidRDefault="001E0D3A"/>
    <w:p w14:paraId="59A37EFC" w14:textId="77777777" w:rsidR="001E0D3A" w:rsidRPr="001E0D3A" w:rsidRDefault="001E0D3A" w:rsidP="001E0D3A"/>
    <w:p w14:paraId="1A979774" w14:textId="77777777" w:rsidR="001E0D3A" w:rsidRPr="001E0D3A" w:rsidRDefault="001E0D3A" w:rsidP="001E0D3A"/>
    <w:p w14:paraId="633A51D7" w14:textId="77777777" w:rsidR="001E0D3A" w:rsidRPr="001E0D3A" w:rsidRDefault="001E0D3A" w:rsidP="001E0D3A"/>
    <w:p w14:paraId="14C32C84" w14:textId="77777777" w:rsidR="001E0D3A" w:rsidRPr="001E0D3A" w:rsidRDefault="001E0D3A" w:rsidP="001E0D3A"/>
    <w:p w14:paraId="003ED023" w14:textId="77777777" w:rsidR="001E0D3A" w:rsidRPr="001E0D3A" w:rsidRDefault="001E0D3A" w:rsidP="001E0D3A"/>
    <w:p w14:paraId="5CA854FD" w14:textId="77777777" w:rsidR="001E0D3A" w:rsidRPr="001E0D3A" w:rsidRDefault="001E0D3A" w:rsidP="001E0D3A"/>
    <w:p w14:paraId="39A2827F" w14:textId="77777777" w:rsidR="001E0D3A" w:rsidRPr="001E0D3A" w:rsidRDefault="001E0D3A" w:rsidP="001E0D3A"/>
    <w:p w14:paraId="65DF641C" w14:textId="77777777" w:rsidR="001E0D3A" w:rsidRPr="001E0D3A" w:rsidRDefault="001E0D3A" w:rsidP="001E0D3A"/>
    <w:p w14:paraId="7D880186" w14:textId="77777777" w:rsidR="001E0D3A" w:rsidRPr="001E0D3A" w:rsidRDefault="001E0D3A" w:rsidP="001E0D3A"/>
    <w:p w14:paraId="186E48E1" w14:textId="77777777" w:rsidR="001E0D3A" w:rsidRPr="001E0D3A" w:rsidRDefault="001E0D3A" w:rsidP="001E0D3A"/>
    <w:p w14:paraId="349A683A" w14:textId="77777777" w:rsidR="001E0D3A" w:rsidRPr="001E0D3A" w:rsidRDefault="001E0D3A" w:rsidP="001E0D3A"/>
    <w:p w14:paraId="05328C79" w14:textId="77777777" w:rsidR="001E0D3A" w:rsidRPr="001E0D3A" w:rsidRDefault="001E0D3A" w:rsidP="001E0D3A"/>
    <w:p w14:paraId="61207655" w14:textId="77777777" w:rsidR="001E0D3A" w:rsidRPr="001E0D3A" w:rsidRDefault="001E0D3A" w:rsidP="001E0D3A"/>
    <w:p w14:paraId="076E9930" w14:textId="77777777" w:rsidR="001E0D3A" w:rsidRPr="001E0D3A" w:rsidRDefault="001E0D3A" w:rsidP="001E0D3A"/>
    <w:p w14:paraId="0729ED69" w14:textId="77777777" w:rsidR="001E0D3A" w:rsidRPr="001E0D3A" w:rsidRDefault="001E0D3A" w:rsidP="001E0D3A"/>
    <w:p w14:paraId="140ACB1C" w14:textId="77777777" w:rsidR="001E0D3A" w:rsidRPr="001E0D3A" w:rsidRDefault="001E0D3A" w:rsidP="001E0D3A"/>
    <w:p w14:paraId="1BEFC25C" w14:textId="77777777" w:rsidR="001E0D3A" w:rsidRPr="001E0D3A" w:rsidRDefault="001E0D3A" w:rsidP="001E0D3A"/>
    <w:p w14:paraId="1198A844" w14:textId="77777777" w:rsidR="001E0D3A" w:rsidRPr="001E0D3A" w:rsidRDefault="001E0D3A" w:rsidP="001E0D3A"/>
    <w:p w14:paraId="34403C79" w14:textId="77777777" w:rsidR="001E0D3A" w:rsidRPr="001E0D3A" w:rsidRDefault="001E0D3A" w:rsidP="001E0D3A"/>
    <w:p w14:paraId="41C658AF" w14:textId="77777777" w:rsidR="001E0D3A" w:rsidRDefault="001E0D3A" w:rsidP="001E0D3A"/>
    <w:p w14:paraId="7FA300E2" w14:textId="2B65ECB1" w:rsidR="001E0D3A" w:rsidRDefault="001E0D3A" w:rsidP="001E0D3A">
      <w:pPr>
        <w:tabs>
          <w:tab w:val="left" w:pos="6660"/>
        </w:tabs>
      </w:pPr>
      <w:r>
        <w:tab/>
      </w:r>
    </w:p>
    <w:p w14:paraId="34F3F8FF" w14:textId="77777777" w:rsidR="001E0D3A" w:rsidRDefault="001E0D3A" w:rsidP="001E0D3A">
      <w:pPr>
        <w:tabs>
          <w:tab w:val="left" w:pos="6660"/>
        </w:tabs>
      </w:pPr>
    </w:p>
    <w:p w14:paraId="479E13D0" w14:textId="77777777" w:rsidR="001E0D3A" w:rsidRDefault="001E0D3A" w:rsidP="001E0D3A">
      <w:pPr>
        <w:tabs>
          <w:tab w:val="left" w:pos="6660"/>
        </w:tabs>
      </w:pPr>
    </w:p>
    <w:p w14:paraId="20B0E96F" w14:textId="77777777" w:rsidR="001E0D3A" w:rsidRDefault="001E0D3A" w:rsidP="001E0D3A">
      <w:pPr>
        <w:tabs>
          <w:tab w:val="left" w:pos="6660"/>
        </w:tabs>
      </w:pPr>
    </w:p>
    <w:p w14:paraId="7128F06E" w14:textId="77777777" w:rsidR="001E0D3A" w:rsidRDefault="001E0D3A" w:rsidP="001E0D3A">
      <w:pPr>
        <w:tabs>
          <w:tab w:val="left" w:pos="6660"/>
        </w:tabs>
      </w:pPr>
    </w:p>
    <w:p w14:paraId="75AE2E36" w14:textId="77777777" w:rsidR="001E0D3A" w:rsidRDefault="001E0D3A" w:rsidP="001E0D3A">
      <w:pPr>
        <w:tabs>
          <w:tab w:val="left" w:pos="6660"/>
        </w:tabs>
      </w:pPr>
    </w:p>
    <w:p w14:paraId="61BE7135" w14:textId="77777777" w:rsidR="001E0D3A" w:rsidRDefault="001E0D3A" w:rsidP="001E0D3A">
      <w:pPr>
        <w:tabs>
          <w:tab w:val="left" w:pos="6660"/>
        </w:tabs>
      </w:pPr>
    </w:p>
    <w:p w14:paraId="2F0CFE62" w14:textId="0F082E90" w:rsidR="001E0D3A" w:rsidRPr="001E0D3A" w:rsidRDefault="001E0D3A" w:rsidP="001E0D3A">
      <w:pPr>
        <w:tabs>
          <w:tab w:val="left" w:pos="6660"/>
        </w:tabs>
        <w:jc w:val="right"/>
        <w:rPr>
          <w:b/>
          <w:bCs/>
          <w:sz w:val="24"/>
          <w:szCs w:val="24"/>
        </w:rPr>
      </w:pPr>
    </w:p>
    <w:sectPr w:rsidR="001E0D3A" w:rsidRPr="001E0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3F7A0" w14:textId="77777777" w:rsidR="003A5165" w:rsidRDefault="003A5165" w:rsidP="003970C6">
      <w:pPr>
        <w:spacing w:after="0" w:line="240" w:lineRule="auto"/>
      </w:pPr>
      <w:r>
        <w:separator/>
      </w:r>
    </w:p>
  </w:endnote>
  <w:endnote w:type="continuationSeparator" w:id="0">
    <w:p w14:paraId="5EF13CC9" w14:textId="77777777" w:rsidR="003A5165" w:rsidRDefault="003A5165" w:rsidP="0039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0409E" w14:textId="77777777" w:rsidR="003A5165" w:rsidRDefault="003A5165" w:rsidP="003970C6">
      <w:pPr>
        <w:spacing w:after="0" w:line="240" w:lineRule="auto"/>
      </w:pPr>
      <w:r>
        <w:separator/>
      </w:r>
    </w:p>
  </w:footnote>
  <w:footnote w:type="continuationSeparator" w:id="0">
    <w:p w14:paraId="4ADA8C87" w14:textId="77777777" w:rsidR="003A5165" w:rsidRDefault="003A5165" w:rsidP="00397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7DF3"/>
    <w:multiLevelType w:val="hybridMultilevel"/>
    <w:tmpl w:val="920A267C"/>
    <w:lvl w:ilvl="0" w:tplc="3D80A8BA">
      <w:start w:val="5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549813C8"/>
    <w:multiLevelType w:val="hybridMultilevel"/>
    <w:tmpl w:val="D446FED2"/>
    <w:lvl w:ilvl="0" w:tplc="9CCCA71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6A2548C7"/>
    <w:multiLevelType w:val="hybridMultilevel"/>
    <w:tmpl w:val="81F05D80"/>
    <w:lvl w:ilvl="0" w:tplc="ED8CC2CC">
      <w:start w:val="9"/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C3C1558"/>
    <w:multiLevelType w:val="hybridMultilevel"/>
    <w:tmpl w:val="A6CEA68C"/>
    <w:lvl w:ilvl="0" w:tplc="646E7074">
      <w:start w:val="5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0" w:hanging="360"/>
      </w:pPr>
    </w:lvl>
    <w:lvl w:ilvl="2" w:tplc="0402001B" w:tentative="1">
      <w:start w:val="1"/>
      <w:numFmt w:val="lowerRoman"/>
      <w:lvlText w:val="%3."/>
      <w:lvlJc w:val="right"/>
      <w:pPr>
        <w:ind w:left="2010" w:hanging="180"/>
      </w:pPr>
    </w:lvl>
    <w:lvl w:ilvl="3" w:tplc="0402000F" w:tentative="1">
      <w:start w:val="1"/>
      <w:numFmt w:val="decimal"/>
      <w:lvlText w:val="%4."/>
      <w:lvlJc w:val="left"/>
      <w:pPr>
        <w:ind w:left="2730" w:hanging="360"/>
      </w:pPr>
    </w:lvl>
    <w:lvl w:ilvl="4" w:tplc="04020019" w:tentative="1">
      <w:start w:val="1"/>
      <w:numFmt w:val="lowerLetter"/>
      <w:lvlText w:val="%5."/>
      <w:lvlJc w:val="left"/>
      <w:pPr>
        <w:ind w:left="3450" w:hanging="360"/>
      </w:pPr>
    </w:lvl>
    <w:lvl w:ilvl="5" w:tplc="0402001B" w:tentative="1">
      <w:start w:val="1"/>
      <w:numFmt w:val="lowerRoman"/>
      <w:lvlText w:val="%6."/>
      <w:lvlJc w:val="right"/>
      <w:pPr>
        <w:ind w:left="4170" w:hanging="180"/>
      </w:pPr>
    </w:lvl>
    <w:lvl w:ilvl="6" w:tplc="0402000F" w:tentative="1">
      <w:start w:val="1"/>
      <w:numFmt w:val="decimal"/>
      <w:lvlText w:val="%7."/>
      <w:lvlJc w:val="left"/>
      <w:pPr>
        <w:ind w:left="4890" w:hanging="360"/>
      </w:pPr>
    </w:lvl>
    <w:lvl w:ilvl="7" w:tplc="04020019" w:tentative="1">
      <w:start w:val="1"/>
      <w:numFmt w:val="lowerLetter"/>
      <w:lvlText w:val="%8."/>
      <w:lvlJc w:val="left"/>
      <w:pPr>
        <w:ind w:left="5610" w:hanging="360"/>
      </w:pPr>
    </w:lvl>
    <w:lvl w:ilvl="8" w:tplc="0402001B" w:tentative="1">
      <w:start w:val="1"/>
      <w:numFmt w:val="lowerRoman"/>
      <w:lvlText w:val="%9."/>
      <w:lvlJc w:val="right"/>
      <w:pPr>
        <w:ind w:left="6330" w:hanging="180"/>
      </w:pPr>
    </w:lvl>
  </w:abstractNum>
  <w:num w:numId="1" w16cid:durableId="1269698790">
    <w:abstractNumId w:val="2"/>
  </w:num>
  <w:num w:numId="2" w16cid:durableId="1761102624">
    <w:abstractNumId w:val="1"/>
  </w:num>
  <w:num w:numId="3" w16cid:durableId="1105079363">
    <w:abstractNumId w:val="3"/>
  </w:num>
  <w:num w:numId="4" w16cid:durableId="677077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DB"/>
    <w:rsid w:val="000004EB"/>
    <w:rsid w:val="00066FDB"/>
    <w:rsid w:val="000B4059"/>
    <w:rsid w:val="000C5112"/>
    <w:rsid w:val="001922AB"/>
    <w:rsid w:val="001A4372"/>
    <w:rsid w:val="001E0D3A"/>
    <w:rsid w:val="001F5C7D"/>
    <w:rsid w:val="002152BC"/>
    <w:rsid w:val="00230634"/>
    <w:rsid w:val="00295714"/>
    <w:rsid w:val="00321EED"/>
    <w:rsid w:val="00370DD4"/>
    <w:rsid w:val="003970C6"/>
    <w:rsid w:val="003A5165"/>
    <w:rsid w:val="003D105B"/>
    <w:rsid w:val="00407357"/>
    <w:rsid w:val="00407B63"/>
    <w:rsid w:val="00416200"/>
    <w:rsid w:val="00423F76"/>
    <w:rsid w:val="00424455"/>
    <w:rsid w:val="00436B74"/>
    <w:rsid w:val="004504A0"/>
    <w:rsid w:val="0049120B"/>
    <w:rsid w:val="004B66BE"/>
    <w:rsid w:val="0056004E"/>
    <w:rsid w:val="005C747D"/>
    <w:rsid w:val="005D568C"/>
    <w:rsid w:val="00611C2B"/>
    <w:rsid w:val="0062563A"/>
    <w:rsid w:val="00690285"/>
    <w:rsid w:val="006C0334"/>
    <w:rsid w:val="006C2106"/>
    <w:rsid w:val="006C4D22"/>
    <w:rsid w:val="006F094E"/>
    <w:rsid w:val="006F1BE2"/>
    <w:rsid w:val="00704671"/>
    <w:rsid w:val="007A5090"/>
    <w:rsid w:val="0082727C"/>
    <w:rsid w:val="0088438F"/>
    <w:rsid w:val="008C2FDF"/>
    <w:rsid w:val="008E4EA3"/>
    <w:rsid w:val="0094670D"/>
    <w:rsid w:val="009A61C5"/>
    <w:rsid w:val="009D5646"/>
    <w:rsid w:val="00A65D62"/>
    <w:rsid w:val="00A7068C"/>
    <w:rsid w:val="00AC2A29"/>
    <w:rsid w:val="00BA03E7"/>
    <w:rsid w:val="00C31CE7"/>
    <w:rsid w:val="00C47086"/>
    <w:rsid w:val="00CD6B90"/>
    <w:rsid w:val="00D03AE1"/>
    <w:rsid w:val="00D2334A"/>
    <w:rsid w:val="00D41FC6"/>
    <w:rsid w:val="00D524B6"/>
    <w:rsid w:val="00E36BED"/>
    <w:rsid w:val="00E77343"/>
    <w:rsid w:val="00FD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EA51"/>
  <w15:chartTrackingRefBased/>
  <w15:docId w15:val="{3F672080-0E94-48EE-91CA-AC06247E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970C6"/>
  </w:style>
  <w:style w:type="paragraph" w:styleId="a5">
    <w:name w:val="footer"/>
    <w:basedOn w:val="a"/>
    <w:link w:val="a6"/>
    <w:uiPriority w:val="99"/>
    <w:unhideWhenUsed/>
    <w:rsid w:val="00397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970C6"/>
  </w:style>
  <w:style w:type="paragraph" w:styleId="a7">
    <w:name w:val="List Paragraph"/>
    <w:basedOn w:val="a"/>
    <w:uiPriority w:val="34"/>
    <w:qFormat/>
    <w:rsid w:val="003970C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C2FD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C2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umis2020.government.bg/bg/s/Procedure/Info/dbc86350-cccd-414a-a175-a1d4409525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%20void(0)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mis2020.government.b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hyperlink" Target="https://www.nikopol-bg.com/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2T07:04:34.7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2C9C9-0CB5-4D7D-9376-77F3BAEE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11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GTopisheva</dc:creator>
  <cp:keywords/>
  <dc:description/>
  <cp:lastModifiedBy>GTopisheva</cp:lastModifiedBy>
  <cp:revision>15</cp:revision>
  <cp:lastPrinted>2023-05-23T10:52:00Z</cp:lastPrinted>
  <dcterms:created xsi:type="dcterms:W3CDTF">2023-05-18T09:29:00Z</dcterms:created>
  <dcterms:modified xsi:type="dcterms:W3CDTF">2023-05-23T10:55:00Z</dcterms:modified>
</cp:coreProperties>
</file>