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92" w:rsidRPr="007E6892" w:rsidRDefault="007E6892" w:rsidP="007E68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:rsidR="007E6892" w:rsidRPr="007E6892" w:rsidRDefault="007E6892" w:rsidP="007E68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:rsidR="007E6892" w:rsidRPr="007E6892" w:rsidRDefault="007E6892" w:rsidP="007E68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:rsidR="007E6892" w:rsidRPr="007E6892" w:rsidRDefault="007E6892" w:rsidP="007E68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:rsidR="007E6892" w:rsidRPr="007E6892" w:rsidRDefault="007E6892" w:rsidP="007E68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:rsidR="007E6892" w:rsidRPr="007E6892" w:rsidRDefault="007E6892" w:rsidP="007E68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:rsidR="007E6892" w:rsidRPr="007E6892" w:rsidRDefault="007E6892" w:rsidP="007E68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:rsidR="007E6892" w:rsidRPr="007E6892" w:rsidRDefault="007E6892" w:rsidP="007E6892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общината</w:t>
      </w:r>
    </w:p>
    <w:p w:rsidR="007E6892" w:rsidRPr="007E6892" w:rsidRDefault="007E6892" w:rsidP="007E68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689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:rsidR="007E6892" w:rsidRPr="007E6892" w:rsidRDefault="007E6892" w:rsidP="007E68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6892" w:rsidRPr="007E6892" w:rsidRDefault="007E6892" w:rsidP="007E68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6892" w:rsidRPr="007E6892" w:rsidRDefault="007E6892" w:rsidP="007E6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7E6892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П О К А Н А</w:t>
      </w:r>
    </w:p>
    <w:p w:rsidR="007E6892" w:rsidRPr="007E6892" w:rsidRDefault="007E6892" w:rsidP="007E6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7E689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 </w:t>
      </w:r>
    </w:p>
    <w:p w:rsidR="007E6892" w:rsidRPr="007E6892" w:rsidRDefault="007E6892" w:rsidP="007E6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6892" w:rsidRPr="007E6892" w:rsidRDefault="007E6892" w:rsidP="007E6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7E689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участие в заседание на Общински Съвет – Никопол, което ще се проведе на    2</w:t>
      </w:r>
      <w:r w:rsidR="00FA4CE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9</w:t>
      </w:r>
      <w:r w:rsidRPr="007E689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.0</w:t>
      </w:r>
      <w:r w:rsidR="00FA4CE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3</w:t>
      </w:r>
      <w:r w:rsidRPr="007E689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.2021г.  /</w:t>
      </w:r>
      <w:r w:rsidR="00FA4CE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понеделник</w:t>
      </w:r>
      <w:r w:rsidRPr="007E689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/</w:t>
      </w:r>
    </w:p>
    <w:p w:rsidR="007E6892" w:rsidRPr="007E6892" w:rsidRDefault="007E6892" w:rsidP="007E6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</w:pPr>
      <w:r w:rsidRPr="007E689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от 10:30 часа </w:t>
      </w:r>
      <w:r w:rsidRPr="007E689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в лекционната зала на Читалището в гр.Никопол</w:t>
      </w: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7E689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7E6892" w:rsidRPr="007E6892" w:rsidRDefault="007E6892" w:rsidP="007E68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:rsidR="007E6892" w:rsidRPr="007E6892" w:rsidRDefault="007E6892" w:rsidP="007E6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:rsidR="007E6892" w:rsidRPr="007E6892" w:rsidRDefault="007E6892" w:rsidP="007E68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6892" w:rsidRPr="007E6892" w:rsidRDefault="007E6892" w:rsidP="007E68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6892" w:rsidRPr="007E6892" w:rsidRDefault="007E6892" w:rsidP="007E6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:rsidR="007E6892" w:rsidRPr="007E6892" w:rsidRDefault="007E6892" w:rsidP="007E68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</w:t>
      </w: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1</w:t>
      </w:r>
      <w:r w:rsidRPr="007E6892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>.</w:t>
      </w:r>
      <w:r w:rsidRPr="007E689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7E6892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7E689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6D4AE1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План- график за работата на Общински съвет-Никопол, мандат 2019 – 2023 г. за</w:t>
      </w:r>
      <w:r w:rsidRPr="006D4A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II</w:t>
      </w:r>
      <w:r w:rsidRPr="006D4A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6D4AE1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тримесечие на 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6D4A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7E6892" w:rsidRPr="007E6892" w:rsidRDefault="00162E31" w:rsidP="007E689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  <w:r w:rsidR="007E6892" w:rsidRPr="007E68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ОбС</w:t>
      </w:r>
    </w:p>
    <w:p w:rsidR="007E6892" w:rsidRPr="007E6892" w:rsidRDefault="007E6892" w:rsidP="007E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6892" w:rsidRPr="00CB67EB" w:rsidRDefault="007E6892" w:rsidP="00CB6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</w:t>
      </w:r>
      <w:r w:rsidRPr="007E689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7E6892">
        <w:rPr>
          <w:rFonts w:ascii="Century Gothic" w:eastAsia="Times New Roman" w:hAnsi="Century Gothic" w:cs="Times New Roman"/>
          <w:bCs/>
          <w:sz w:val="24"/>
          <w:szCs w:val="24"/>
          <w:lang w:eastAsia="bg-BG"/>
        </w:rPr>
        <w:t xml:space="preserve">  </w:t>
      </w:r>
      <w:r w:rsidR="00CB67EB" w:rsidRPr="002873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Одобряване на споразумение за партньорство, съгласно чл. 59 - 61 ЗМСМА, за реализация на инициатива „По водите на р. Осъм“ между партньори: Община Ловеч, Община Троян, Община Летница, Община Левски, </w:t>
      </w:r>
      <w:r w:rsidR="00CB67EB" w:rsidRPr="0028739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Никопол</w:t>
      </w:r>
      <w:r w:rsidR="00CB67EB" w:rsidRPr="002873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Областна администрация – Ловеч, Областна администрация </w:t>
      </w:r>
      <w:r w:rsidR="00CB67E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="00CB67EB" w:rsidRPr="002873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Плевен</w:t>
      </w:r>
      <w:r w:rsidR="00CB67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7E6892" w:rsidRPr="007E6892" w:rsidRDefault="007E6892" w:rsidP="007E689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8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6892" w:rsidRPr="007E6892" w:rsidRDefault="007E6892" w:rsidP="007E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6892" w:rsidRPr="007E6892" w:rsidRDefault="007E6892" w:rsidP="007E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6892" w:rsidRPr="00CD008E" w:rsidRDefault="007E6892" w:rsidP="00CD008E">
      <w:pPr>
        <w:pStyle w:val="4"/>
        <w:spacing w:before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 w:eastAsia="bg-BG"/>
        </w:rPr>
      </w:pPr>
      <w:r w:rsidRPr="00CD008E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lang w:eastAsia="bg-BG"/>
        </w:rPr>
        <w:t>3</w:t>
      </w:r>
      <w:r w:rsidRPr="00CD008E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lang w:eastAsia="bg-BG"/>
        </w:rPr>
        <w:t>.Докладна записка</w:t>
      </w:r>
      <w:r w:rsidRPr="007E6892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Pr="00261467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7E6892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 </w:t>
      </w:r>
      <w:r w:rsidR="00CD008E" w:rsidRPr="00CD008E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Приемане на Годишен доклад за 20</w:t>
      </w:r>
      <w:r w:rsidR="00CD008E" w:rsidRPr="00CD008E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en-US" w:eastAsia="bg-BG"/>
        </w:rPr>
        <w:t>20</w:t>
      </w:r>
      <w:r w:rsidR="00CD008E" w:rsidRPr="00CD008E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 xml:space="preserve"> г. на Общински план за развитие за периода 2014-</w:t>
      </w:r>
      <w:smartTag w:uri="urn:schemas-microsoft-com:office:smarttags" w:element="metricconverter">
        <w:smartTagPr>
          <w:attr w:name="ProductID" w:val="2020 г"/>
        </w:smartTagPr>
        <w:r w:rsidR="00CD008E" w:rsidRPr="00CD008E">
          <w:rPr>
            <w:rFonts w:ascii="Times New Roman" w:eastAsia="Times New Roman" w:hAnsi="Times New Roman" w:cs="Times New Roman"/>
            <w:b w:val="0"/>
            <w:i w:val="0"/>
            <w:iCs w:val="0"/>
            <w:color w:val="auto"/>
            <w:sz w:val="24"/>
            <w:szCs w:val="24"/>
            <w:lang w:eastAsia="bg-BG"/>
          </w:rPr>
          <w:t>2020 г</w:t>
        </w:r>
      </w:smartTag>
      <w:r w:rsidR="00CD008E" w:rsidRPr="00CD008E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 xml:space="preserve">. </w:t>
      </w:r>
      <w:r w:rsidR="00CD008E" w:rsidRPr="00CD008E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 xml:space="preserve">( </w:t>
      </w:r>
      <w:r w:rsidR="00CD008E" w:rsidRPr="00CD008E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ОПР 2014-</w:t>
      </w:r>
      <w:smartTag w:uri="urn:schemas-microsoft-com:office:smarttags" w:element="metricconverter">
        <w:smartTagPr>
          <w:attr w:name="ProductID" w:val="2020 г"/>
        </w:smartTagPr>
        <w:r w:rsidR="00CD008E" w:rsidRPr="00CD008E">
          <w:rPr>
            <w:rFonts w:ascii="Times New Roman" w:eastAsia="Times New Roman" w:hAnsi="Times New Roman" w:cs="Times New Roman"/>
            <w:b w:val="0"/>
            <w:i w:val="0"/>
            <w:iCs w:val="0"/>
            <w:color w:val="auto"/>
            <w:sz w:val="24"/>
            <w:szCs w:val="24"/>
            <w:lang w:eastAsia="bg-BG"/>
          </w:rPr>
          <w:t>2020 г</w:t>
        </w:r>
      </w:smartTag>
      <w:r w:rsidR="00CD008E" w:rsidRPr="00CD008E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 xml:space="preserve">. </w:t>
      </w:r>
      <w:r w:rsidR="00CD008E" w:rsidRPr="00CD008E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>)</w:t>
      </w:r>
    </w:p>
    <w:p w:rsidR="007E6892" w:rsidRPr="007E6892" w:rsidRDefault="007E6892" w:rsidP="007E689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8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Вносител: Кмет на общината</w:t>
      </w: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7E6892" w:rsidRPr="00E37993" w:rsidRDefault="007E6892" w:rsidP="00E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4</w:t>
      </w:r>
      <w:r w:rsidRPr="007E689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7E689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E37993" w:rsidRPr="008D3E55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от заплащане на такса за ползване на общински терени за разполагане на маси и столове за извършване на търговия на открито през летния сезон на 2021 год.</w:t>
      </w: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7E68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7E6892" w:rsidRPr="00C422DF" w:rsidRDefault="007E6892" w:rsidP="00C4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5</w:t>
      </w:r>
      <w:r w:rsidRPr="007E689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7E689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  </w:t>
      </w:r>
      <w:r w:rsidR="00C422DF" w:rsidRPr="00C422DF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Отдаване под наем на част от имот представляващ публична общиска собственост за поставяне на павилион</w:t>
      </w:r>
      <w:r w:rsidR="00C422DF" w:rsidRPr="00C422D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C422DF" w:rsidRPr="00C422D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извършване на търговска дейност, съгласно схема утвърдена от главния архитект на Община Никопол за срок от 5 /пет/ години.</w:t>
      </w:r>
    </w:p>
    <w:p w:rsidR="007E6892" w:rsidRPr="007E6892" w:rsidRDefault="007E6892" w:rsidP="00C422DF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7E68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7E6892" w:rsidRPr="007E6892" w:rsidRDefault="007E6892" w:rsidP="00C422DF">
      <w:pPr>
        <w:keepNext/>
        <w:spacing w:after="0" w:line="240" w:lineRule="auto"/>
        <w:ind w:left="23" w:hanging="23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:rsidR="007E6892" w:rsidRPr="007E6892" w:rsidRDefault="007E6892" w:rsidP="00C41F8D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892" w:rsidRPr="007E6892" w:rsidRDefault="007E6892" w:rsidP="004C20FF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6</w:t>
      </w:r>
      <w:r w:rsidRPr="007E689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7E689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4C20FF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Приемане на Годишния финансов отчет /ГФО/ на общинско търговско дружество „МБАЛ - Никопол“ЕООД, гр.Никопол, ЕИК: 000410049, за 2020 година.</w:t>
      </w: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7E68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</w:t>
      </w:r>
      <w:r w:rsidR="004C20FF" w:rsidRPr="007E6892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общината</w:t>
      </w: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7E6892" w:rsidRPr="004B3E84" w:rsidRDefault="007E6892" w:rsidP="004B3E84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892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7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7E689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4B3E8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 Приемане на Годишния финансов отчет /ГФО/ на общинско търговско дружество „Медицински център</w:t>
      </w:r>
      <w:r w:rsidR="004B3E8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val="en-US" w:eastAsia="bg-BG"/>
        </w:rPr>
        <w:t xml:space="preserve"> I</w:t>
      </w:r>
      <w:r w:rsidR="004B3E8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 - Никопол“ЕООД, гр.Никопол, ЕИК: 114517172, за 2020 година.</w:t>
      </w: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7E68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7E6892" w:rsidRPr="007E6892" w:rsidRDefault="007E6892" w:rsidP="007E6892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6892" w:rsidRPr="007E6892" w:rsidRDefault="007E6892" w:rsidP="007E6892">
      <w:pPr>
        <w:tabs>
          <w:tab w:val="left" w:pos="-2835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7E6892" w:rsidRPr="007E6892" w:rsidRDefault="007E6892" w:rsidP="001F5BE3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8</w:t>
      </w:r>
      <w:r w:rsidRPr="007E689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7E6892">
        <w:rPr>
          <w:rFonts w:ascii="Times New Roman" w:eastAsiaTheme="majorEastAsia" w:hAnsi="Times New Roman" w:cs="Times New Roman"/>
          <w:bCs/>
          <w:i/>
          <w:color w:val="262626" w:themeColor="text1" w:themeTint="D9"/>
          <w:sz w:val="24"/>
          <w:szCs w:val="24"/>
          <w:lang w:eastAsia="bg-BG"/>
        </w:rPr>
        <w:t xml:space="preserve">  </w:t>
      </w:r>
      <w:r w:rsidR="001F5BE3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Приемане на Годишния финансов отчет /ГФО/ на общинско търговско дружество „Пристанище Никопол“ЕООД, гр.Никопол, ЕИК: 200179982, за 2020 година.</w:t>
      </w: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7E68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7E6892" w:rsidRPr="001E533B" w:rsidRDefault="007E6892" w:rsidP="001E533B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892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9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7E689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7E6892">
        <w:rPr>
          <w:rFonts w:ascii="Times New Roman" w:eastAsiaTheme="majorEastAsia" w:hAnsi="Times New Roman" w:cs="Times New Roman"/>
          <w:b/>
          <w:i/>
          <w:color w:val="262626" w:themeColor="text1" w:themeTint="D9"/>
          <w:sz w:val="24"/>
          <w:szCs w:val="24"/>
          <w:lang w:eastAsia="bg-BG"/>
        </w:rPr>
        <w:t xml:space="preserve"> </w:t>
      </w:r>
      <w:r w:rsidRPr="007E6892">
        <w:rPr>
          <w:rFonts w:ascii="Times New Roman" w:eastAsiaTheme="majorEastAsia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="001E533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Приемане на Годишния финансов отчет /ГФО/ на общинско търговско дружество „Фарма - Никопол“ЕООД, гр.Никопол, ЕИК: 114068927, за 2020 година.</w:t>
      </w: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7E68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6892" w:rsidRDefault="007E6892" w:rsidP="007E6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92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10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7E689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:</w:t>
      </w:r>
      <w:r w:rsidR="00082A0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082A0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Приемане на Годишен отчет за изпълнение на Програмата за опазване на околната среда на Община Никопол, Програма за управление на отпадъците на територията на Община Никопол и Програма за намаляване нивата на замърсителите и достигане на нормите на фини прахови частици в гр.Никопол за </w:t>
      </w:r>
      <w:r w:rsidR="00082A05" w:rsidRPr="00D96BC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2020</w:t>
      </w:r>
      <w:r w:rsidR="00082A0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година.</w:t>
      </w: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7E68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6892" w:rsidRPr="00A46D46" w:rsidRDefault="007E6892" w:rsidP="007E6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892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11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7E689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A46D46" w:rsidRPr="001E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бюджетна прогноза в частта за местните дейности, прогнозния размер на показателите за поети ангажименти и за задължения за разходи и прогнозата за общинския дълг и разходите за лихви по него за  периода </w:t>
      </w:r>
      <w:r w:rsidR="00A46D46" w:rsidRPr="001E5DF4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20</w:t>
      </w:r>
      <w:r w:rsidR="00A46D46" w:rsidRPr="001E5DF4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bg-BG"/>
        </w:rPr>
        <w:t>22</w:t>
      </w:r>
      <w:r w:rsidR="00A46D46" w:rsidRPr="001E5DF4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-202</w:t>
      </w:r>
      <w:r w:rsidR="00A46D46" w:rsidRPr="001E5DF4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bg-BG"/>
        </w:rPr>
        <w:t>4</w:t>
      </w:r>
      <w:r w:rsidR="00A46D46" w:rsidRPr="001E5DF4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 xml:space="preserve"> г.</w:t>
      </w:r>
      <w:r w:rsidR="00A46D46" w:rsidRPr="001E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Никопол</w:t>
      </w:r>
      <w:r w:rsidR="00A46D46" w:rsidRPr="001E5DF4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 xml:space="preserve"> </w:t>
      </w:r>
      <w:r w:rsidR="00A46D46" w:rsidRPr="001E5DF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bg-BG"/>
        </w:rPr>
        <w:t>(първи етап)</w:t>
      </w:r>
      <w:r w:rsidR="00A46D46" w:rsidRPr="001E5DF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bg-BG"/>
        </w:rPr>
        <w:t>.</w:t>
      </w:r>
      <w:r w:rsidR="00A46D46" w:rsidRPr="001E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Приемане на информация и оценка на прогнозите за периода </w:t>
      </w:r>
      <w:r w:rsidR="00A46D46" w:rsidRPr="001E5DF4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201</w:t>
      </w:r>
      <w:r w:rsidR="00A46D46" w:rsidRPr="001E5DF4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bg-BG"/>
        </w:rPr>
        <w:t>9</w:t>
      </w:r>
      <w:r w:rsidR="00A46D46" w:rsidRPr="001E5DF4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-202</w:t>
      </w:r>
      <w:r w:rsidR="00A46D46" w:rsidRPr="001E5DF4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bg-BG"/>
        </w:rPr>
        <w:t>4</w:t>
      </w:r>
      <w:r w:rsidR="00A46D46" w:rsidRPr="001E5DF4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 xml:space="preserve"> г.</w:t>
      </w:r>
      <w:r w:rsidR="00A46D46" w:rsidRPr="001E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МБАЛ-Никопол ЕООД </w:t>
      </w:r>
      <w:r w:rsidR="00A46D46" w:rsidRPr="001E5DF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bg-BG"/>
        </w:rPr>
        <w:t>(първи етап).</w:t>
      </w: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7E68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6892" w:rsidRPr="00D2632B" w:rsidRDefault="007E6892" w:rsidP="007E6892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 w:rsidRPr="007E6892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12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7E689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D2632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 Утвърждаване на допълнителен списък на длъжностите и на лицата, които имат право за транспортни разноски за пътуване от местоживеенето до местоработата и обратно, когато те се намират в различни населени места.</w:t>
      </w: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8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6892" w:rsidRPr="00E261C5" w:rsidRDefault="007E6892" w:rsidP="00E2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92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13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7E689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7E689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E261C5" w:rsidRPr="00FB1F1D">
        <w:rPr>
          <w:rFonts w:ascii="Times New Roman" w:hAnsi="Times New Roman" w:cs="Times New Roman"/>
          <w:sz w:val="24"/>
          <w:szCs w:val="24"/>
        </w:rPr>
        <w:t>Отпускане на еднократни финансови помощ</w:t>
      </w:r>
      <w:r w:rsidR="00E261C5">
        <w:rPr>
          <w:rFonts w:ascii="Times New Roman" w:hAnsi="Times New Roman" w:cs="Times New Roman"/>
          <w:sz w:val="24"/>
          <w:szCs w:val="24"/>
        </w:rPr>
        <w:t>и по решение на Общински съвет-</w:t>
      </w:r>
      <w:r w:rsidR="00E261C5" w:rsidRPr="00FB1F1D">
        <w:rPr>
          <w:rFonts w:ascii="Times New Roman" w:hAnsi="Times New Roman" w:cs="Times New Roman"/>
          <w:sz w:val="24"/>
          <w:szCs w:val="24"/>
        </w:rPr>
        <w:t>Никопол.</w:t>
      </w: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8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632B" w:rsidRPr="006E3E75" w:rsidRDefault="00D2632B" w:rsidP="00D2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 w:rsidRPr="007E6892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</w:t>
      </w:r>
      <w:r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4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7E689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7E689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6E3E7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Поемане  на </w:t>
      </w:r>
      <w:r w:rsidR="006E3E75" w:rsidRPr="005A3A9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краткосрочен дълг </w:t>
      </w:r>
      <w:r w:rsidR="006E3E75" w:rsidRPr="005A3A9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val="en-US" w:eastAsia="bg-BG"/>
        </w:rPr>
        <w:t>(</w:t>
      </w:r>
      <w:r w:rsidR="006E3E75" w:rsidRPr="005A3A9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мостов кредит</w:t>
      </w:r>
      <w:r w:rsidR="006E3E75" w:rsidRPr="005A3A9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val="en-US" w:eastAsia="bg-BG"/>
        </w:rPr>
        <w:t xml:space="preserve"> )</w:t>
      </w:r>
      <w:r w:rsidR="006E3E7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, по реда на Закона за общинския дълг, подлежащ на финансиране от „Фонд за органите на местното самоуправление в България-ФЛАГ“ ЕАД, за реализация на </w:t>
      </w:r>
      <w:r w:rsidR="006E3E75" w:rsidRPr="005A3A93">
        <w:rPr>
          <w:rFonts w:ascii="Times New Roman" w:eastAsiaTheme="majorEastAsia" w:hAnsi="Times New Roman" w:cs="Times New Roman"/>
          <w:bCs/>
          <w:i/>
          <w:iCs/>
          <w:color w:val="262626" w:themeColor="text1" w:themeTint="D9"/>
          <w:sz w:val="24"/>
          <w:szCs w:val="24"/>
          <w:lang w:eastAsia="bg-BG"/>
        </w:rPr>
        <w:t>проект</w:t>
      </w:r>
      <w:r w:rsidR="006E3E75" w:rsidRPr="005A3A93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„Подобряване на природозащитното състояние на Натура 2000 видове в община Никопол“</w:t>
      </w:r>
      <w:r w:rsidR="006E3E7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, с бенефициент Община Никопол, по процедура с код </w:t>
      </w:r>
      <w:r w:rsidR="006E3E7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val="en-US" w:eastAsia="bg-BG"/>
        </w:rPr>
        <w:t>BG16M1OP002-3.030</w:t>
      </w:r>
      <w:r w:rsidR="006E3E7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,с наименование „МИГ Белене-Никопол“ „Подобряване на природозащитното състояние на видове от мрежата Натура 2000 чрез подхода </w:t>
      </w:r>
      <w:r w:rsidR="006E3E7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val="en-US" w:eastAsia="bg-BG"/>
        </w:rPr>
        <w:t>BOMP</w:t>
      </w:r>
      <w:r w:rsidR="006E3E7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в територията на МИГ Белене-Никопол“, приоритетна ос „НАТУРА 2000 и биоразнообразие“ на оперативна програма „Околна среда 2014-2020 г.“</w:t>
      </w:r>
    </w:p>
    <w:p w:rsidR="00D2632B" w:rsidRPr="007E6892" w:rsidRDefault="00D2632B" w:rsidP="00D26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8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D2632B" w:rsidRPr="007E6892" w:rsidRDefault="00D2632B" w:rsidP="00D26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632B" w:rsidRPr="00E261C5" w:rsidRDefault="00D2632B" w:rsidP="00D2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92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</w:t>
      </w:r>
      <w:r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5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7E689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7E689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6B19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Приемане на Анализ на потребностите от подкрепа за личностно развитие на децата и учениците в Община Никопол /по чл.196, ал.1 на Закона за предучилищно и училищното образование/.</w:t>
      </w:r>
    </w:p>
    <w:p w:rsidR="00D2632B" w:rsidRPr="007E6892" w:rsidRDefault="00D2632B" w:rsidP="00D26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8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D2632B" w:rsidRPr="007E6892" w:rsidRDefault="00D2632B" w:rsidP="00D26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632B" w:rsidRPr="00E261C5" w:rsidRDefault="00D2632B" w:rsidP="00D2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92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</w:t>
      </w:r>
      <w:r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6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7E689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7E689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C672D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Изменение на Правилник за устройството и дейността на Център за подкрепа за личностно развитие Общински детски комплекс, град Никопол.</w:t>
      </w:r>
    </w:p>
    <w:p w:rsidR="00D2632B" w:rsidRPr="007E6892" w:rsidRDefault="00D2632B" w:rsidP="00D26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8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D2632B" w:rsidRPr="007E6892" w:rsidRDefault="00D2632B" w:rsidP="00D26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632B" w:rsidRPr="00E261C5" w:rsidRDefault="00D2632B" w:rsidP="00D2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92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</w:t>
      </w:r>
      <w:r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7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7E689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7E689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C41F8D" w:rsidRPr="002D6662">
        <w:rPr>
          <w:rFonts w:ascii="Times New Roman" w:hAnsi="Times New Roman" w:cs="Times New Roman"/>
          <w:sz w:val="24"/>
          <w:szCs w:val="24"/>
          <w:lang w:val="ru-RU"/>
        </w:rPr>
        <w:t>Възлагане изготвяне на пазарна оценка и разпореждане с имот - частна общинска собственост чрез продажба, представляващ:</w:t>
      </w:r>
      <w:r w:rsidR="00C41F8D" w:rsidRPr="002D6662">
        <w:rPr>
          <w:rFonts w:ascii="Times New Roman" w:hAnsi="Times New Roman" w:cs="Times New Roman"/>
          <w:bCs/>
          <w:sz w:val="24"/>
          <w:szCs w:val="20"/>
        </w:rPr>
        <w:t xml:space="preserve"> п</w:t>
      </w:r>
      <w:r w:rsidR="00C41F8D" w:rsidRPr="002D6662">
        <w:rPr>
          <w:rFonts w:ascii="Times New Roman" w:hAnsi="Times New Roman" w:cs="Times New Roman"/>
          <w:sz w:val="24"/>
          <w:szCs w:val="24"/>
        </w:rPr>
        <w:t>оземлен имот 44152.184.473, област Плевен, община Никопол, с. Лозица, вид собств. „Общинска частна“, вид територия „Земеделска“, категория 6, НТП „Друг вид нива“, площ 5331 кв. м, стар номер 184002</w:t>
      </w:r>
    </w:p>
    <w:p w:rsidR="00D2632B" w:rsidRPr="007E6892" w:rsidRDefault="00D2632B" w:rsidP="00D26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8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D2632B" w:rsidRPr="007E6892" w:rsidRDefault="00D2632B" w:rsidP="00D26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632B" w:rsidRPr="00C41F8D" w:rsidRDefault="00D2632B" w:rsidP="00C41F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7E6892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</w:t>
      </w:r>
      <w:r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8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7E689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7E689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7E689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C41F8D" w:rsidRPr="003B5CC6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Предоставяне за временно и безвъзмездно управление на втори етаж</w:t>
      </w:r>
      <w:r w:rsidR="00C41F8D" w:rsidRPr="003B5CC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="00C41F8D" w:rsidRPr="003B5CC6">
        <w:rPr>
          <w:rFonts w:ascii="Times New Roman" w:eastAsia="Times New Roman" w:hAnsi="Times New Roman" w:cs="Times New Roman"/>
          <w:sz w:val="26"/>
          <w:szCs w:val="26"/>
          <w:lang w:eastAsia="bg-BG"/>
        </w:rPr>
        <w:t>от сграда с идентификатор 51723.500.563.2, област Плевен, община Никопол, гр. Никопол, ул. "Васил Левски" № 51, вид собств. Общинска публична, функц. предн. „Друг вид обществена сграда“, застроена площ 178 кв. м.</w:t>
      </w:r>
    </w:p>
    <w:p w:rsidR="00D2632B" w:rsidRPr="007E6892" w:rsidRDefault="00D2632B" w:rsidP="00D26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8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D2632B" w:rsidRPr="007E6892" w:rsidRDefault="00D2632B" w:rsidP="00D26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632B" w:rsidRPr="007E6892" w:rsidRDefault="00D2632B" w:rsidP="007E6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D263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7E6892">
        <w:rPr>
          <w:rFonts w:ascii="Times New Roman" w:eastAsia="Times New Roman" w:hAnsi="Times New Roman" w:cs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6892" w:rsidRDefault="007E6892" w:rsidP="007E68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41F8D" w:rsidRPr="007E6892" w:rsidRDefault="00C41F8D" w:rsidP="007E68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Майдън Сакаджиев</w:t>
      </w: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</w:t>
      </w: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</w:t>
      </w: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7E6892" w:rsidRPr="007E6892" w:rsidRDefault="007E6892" w:rsidP="007E6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8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:rsidR="00915A9F" w:rsidRDefault="00915A9F"/>
    <w:sectPr w:rsidR="00915A9F" w:rsidSect="005C1BEE">
      <w:footerReference w:type="default" r:id="rId7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6D" w:rsidRDefault="00B55E6D">
      <w:pPr>
        <w:spacing w:after="0" w:line="240" w:lineRule="auto"/>
      </w:pPr>
      <w:r>
        <w:separator/>
      </w:r>
    </w:p>
  </w:endnote>
  <w:endnote w:type="continuationSeparator" w:id="0">
    <w:p w:rsidR="00B55E6D" w:rsidRDefault="00B5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795271"/>
      <w:docPartObj>
        <w:docPartGallery w:val="Page Numbers (Bottom of Page)"/>
        <w:docPartUnique/>
      </w:docPartObj>
    </w:sdtPr>
    <w:sdtEndPr/>
    <w:sdtContent>
      <w:p w:rsidR="00967A12" w:rsidRDefault="00162E3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E6D">
          <w:rPr>
            <w:noProof/>
          </w:rPr>
          <w:t>1</w:t>
        </w:r>
        <w:r>
          <w:fldChar w:fldCharType="end"/>
        </w:r>
      </w:p>
    </w:sdtContent>
  </w:sdt>
  <w:p w:rsidR="00967A12" w:rsidRDefault="00B55E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6D" w:rsidRDefault="00B55E6D">
      <w:pPr>
        <w:spacing w:after="0" w:line="240" w:lineRule="auto"/>
      </w:pPr>
      <w:r>
        <w:separator/>
      </w:r>
    </w:p>
  </w:footnote>
  <w:footnote w:type="continuationSeparator" w:id="0">
    <w:p w:rsidR="00B55E6D" w:rsidRDefault="00B55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92"/>
    <w:rsid w:val="00082A05"/>
    <w:rsid w:val="00162E31"/>
    <w:rsid w:val="001A72A7"/>
    <w:rsid w:val="001E533B"/>
    <w:rsid w:val="001F5BE3"/>
    <w:rsid w:val="00261467"/>
    <w:rsid w:val="002D3306"/>
    <w:rsid w:val="003D4998"/>
    <w:rsid w:val="004B3E84"/>
    <w:rsid w:val="004C20FF"/>
    <w:rsid w:val="005C233C"/>
    <w:rsid w:val="00682C7A"/>
    <w:rsid w:val="006B19EA"/>
    <w:rsid w:val="006E3E75"/>
    <w:rsid w:val="007275BB"/>
    <w:rsid w:val="007E6892"/>
    <w:rsid w:val="00915A9F"/>
    <w:rsid w:val="00A46D46"/>
    <w:rsid w:val="00B55E6D"/>
    <w:rsid w:val="00C41F8D"/>
    <w:rsid w:val="00C422DF"/>
    <w:rsid w:val="00C672D2"/>
    <w:rsid w:val="00CB67EB"/>
    <w:rsid w:val="00CD008E"/>
    <w:rsid w:val="00D2632B"/>
    <w:rsid w:val="00E261C5"/>
    <w:rsid w:val="00E37993"/>
    <w:rsid w:val="00FA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CD00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7E6892"/>
  </w:style>
  <w:style w:type="character" w:customStyle="1" w:styleId="40">
    <w:name w:val="Заглавие 4 Знак"/>
    <w:basedOn w:val="a0"/>
    <w:link w:val="4"/>
    <w:uiPriority w:val="9"/>
    <w:rsid w:val="00CD00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CD00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7E6892"/>
  </w:style>
  <w:style w:type="character" w:customStyle="1" w:styleId="40">
    <w:name w:val="Заглавие 4 Знак"/>
    <w:basedOn w:val="a0"/>
    <w:link w:val="4"/>
    <w:uiPriority w:val="9"/>
    <w:rsid w:val="00CD00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1124</Words>
  <Characters>6410</Characters>
  <Application>Microsoft Office Word</Application>
  <DocSecurity>0</DocSecurity>
  <Lines>53</Lines>
  <Paragraphs>15</Paragraphs>
  <ScaleCrop>false</ScaleCrop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dcterms:created xsi:type="dcterms:W3CDTF">2021-03-04T08:25:00Z</dcterms:created>
  <dcterms:modified xsi:type="dcterms:W3CDTF">2021-03-10T13:42:00Z</dcterms:modified>
</cp:coreProperties>
</file>