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E31734">
        <w:rPr>
          <w:rFonts w:ascii="Times New Roman" w:eastAsia="Times New Roman" w:hAnsi="Times New Roman" w:cs="Times New Roman"/>
          <w:b/>
          <w:bCs/>
          <w:sz w:val="96"/>
          <w:szCs w:val="96"/>
        </w:rPr>
        <w:t>СТРАТЕГИЯ</w:t>
      </w:r>
    </w:p>
    <w:p w:rsidR="00840DB2" w:rsidRPr="00E31734" w:rsidRDefault="00840DB2" w:rsidP="00840DB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31734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</w:t>
      </w: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>ЗА УПРАВЛЕНИЕ НА ОБЩИНСКАТА</w:t>
      </w: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>СОБСТВЕНОСТ</w:t>
      </w: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>НА ОБЩИНА НИКОПОЛ</w:t>
      </w: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40DB2" w:rsidRPr="00E31734" w:rsidRDefault="00840DB2" w:rsidP="008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>ЗА МАНДАТ 201</w:t>
      </w: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9</w:t>
      </w: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>-20</w:t>
      </w: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23</w:t>
      </w:r>
      <w:r w:rsidRPr="00E3173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ГОДИНА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E3173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bg-BG"/>
        </w:rPr>
        <w:drawing>
          <wp:inline distT="0" distB="0" distL="0" distR="0" wp14:anchorId="26851F32" wp14:editId="5C0A930F">
            <wp:extent cx="3038475" cy="4038600"/>
            <wp:effectExtent l="0" t="0" r="9525" b="0"/>
            <wp:docPr id="13" name="Картина 1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DB2" w:rsidRPr="00E31734" w:rsidRDefault="00840DB2" w:rsidP="00840D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DB2" w:rsidRDefault="00840DB2" w:rsidP="00840DB2">
      <w:pPr>
        <w:spacing w:after="0" w:line="240" w:lineRule="auto"/>
        <w:ind w:right="-4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DB2" w:rsidRDefault="00840DB2" w:rsidP="00840DB2">
      <w:pPr>
        <w:spacing w:after="0" w:line="240" w:lineRule="auto"/>
        <w:ind w:right="-4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right="-46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DB2" w:rsidRPr="00E31734" w:rsidRDefault="00840DB2" w:rsidP="00840DB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І.  ОБЩИ  ПОЛОЖЕНИЯ</w:t>
      </w:r>
    </w:p>
    <w:p w:rsidR="00840DB2" w:rsidRPr="00E31734" w:rsidRDefault="00840DB2" w:rsidP="0084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Общината е основна административно-териториална единица в Република България, в която се осъществява местното самоуправление.</w:t>
      </w:r>
      <w:r w:rsidRPr="00E317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значение, които законът е предоставил в тяхна компетентност.</w:t>
      </w:r>
    </w:p>
    <w:p w:rsidR="00840DB2" w:rsidRPr="00E31734" w:rsidRDefault="00840DB2" w:rsidP="00840D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73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бщината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е самостоятелно юридическо лице и има право на собственост.</w:t>
      </w:r>
      <w:proofErr w:type="gram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През 1996 г. бе приет Закона за общинската собственост, който регламентира придобиването, управлението и разпореждането с общинско имущество.</w:t>
      </w:r>
    </w:p>
    <w:p w:rsidR="00840DB2" w:rsidRPr="00E31734" w:rsidRDefault="00840DB2" w:rsidP="00840D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Редът за придобиване на право на собственост и на ограничени вещни права, за предоставяне за управление и за разпореждане с имоти и вещи - общинска собственост, и правомощията на кмета на общината, на кметовете на кметства и на кметските наместници, се определят с наредба на общинския съвет при спазване разпоредбите на Закона за общинската собственост и на специалните закони в тази област.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принцип, прокламиран в Закона за общинската собственост е, че имотите и вещите общинска собственост се управляват в интерес на населението на общината, с грижата на добър стопанин, съобразно предназначението и нуждите, за които са предоставени.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Придобиването, управлението и разпореждането с имоти и вещи - общинска собственост, се извършват под общото ръководство и контрол на общинският съвет, който от своя страна приема настоящата стратегия за управлението на общинската собственост. </w:t>
      </w:r>
    </w:p>
    <w:p w:rsidR="00840DB2" w:rsidRPr="00E31734" w:rsidRDefault="00840DB2" w:rsidP="00840DB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ІІ. ОБХВАТ И СТРУКТУРА НА СТРАТЕГИЯТА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Настоящата Стратегия за управление и разпореждане с общинска собственост обхваща периода 20</w:t>
      </w:r>
      <w:r w:rsidRPr="00E31734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– 2023 година.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Предмет на  стратегията са целите, принципите и приоритетите на придобиване на общинска собственост, както и управлението и разпореждането с всички имоти и вещи общинска собственост.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31734">
        <w:rPr>
          <w:rFonts w:ascii="Times New Roman" w:eastAsia="Times New Roman" w:hAnsi="Times New Roman" w:cs="Times New Roman"/>
          <w:b/>
          <w:bCs/>
          <w:sz w:val="32"/>
          <w:szCs w:val="32"/>
        </w:rPr>
        <w:t>Стратегията включва:</w:t>
      </w:r>
    </w:p>
    <w:p w:rsidR="00840DB2" w:rsidRPr="00E31734" w:rsidRDefault="00840DB2" w:rsidP="00840DB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1. Основните цели, принципи и приоритети за придобиване, управление и разпореждане с имотите - общинска собственост;</w:t>
      </w:r>
    </w:p>
    <w:p w:rsidR="00840DB2" w:rsidRPr="00E31734" w:rsidRDefault="00840DB2" w:rsidP="00840DB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2. Основните характеристики на отделните видове имоти, които могат да се предоставят под наем или да бъдат предмет на разпореждане;</w:t>
      </w:r>
    </w:p>
    <w:p w:rsidR="00840DB2" w:rsidRPr="00E31734" w:rsidRDefault="00840DB2" w:rsidP="00840DB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3. Нуждите на Общината от нови имоти и способите за тяхното придобиване;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Формулирането на стратегията при управлението на всеки вид собственост се основава на:</w:t>
      </w:r>
    </w:p>
    <w:p w:rsidR="00840DB2" w:rsidRPr="00E31734" w:rsidRDefault="00840DB2" w:rsidP="00840DB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1.Идентифициране на обема собственост;</w:t>
      </w:r>
    </w:p>
    <w:p w:rsidR="00840DB2" w:rsidRPr="00E31734" w:rsidRDefault="00840DB2" w:rsidP="00840DB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ab/>
        <w:t>Анализ на състоянието към момента, включително:</w:t>
      </w:r>
    </w:p>
    <w:p w:rsidR="00840DB2" w:rsidRPr="00E31734" w:rsidRDefault="00840DB2" w:rsidP="00840DB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слаби страни и рискове при управлението;</w:t>
      </w:r>
    </w:p>
    <w:p w:rsidR="00840DB2" w:rsidRPr="00E31734" w:rsidRDefault="00840DB2" w:rsidP="00840DB2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плюсове и възможности за развитие на потенциала.</w:t>
      </w:r>
    </w:p>
    <w:p w:rsidR="00840DB2" w:rsidRPr="00E31734" w:rsidRDefault="00840DB2" w:rsidP="00840DB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ab/>
        <w:t>Политики и конкретни задачи.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ІІІ. ОСНОВНИ ПРИНЦИПИ, ЦЕЛИ И ПРИОРИТЕТИ ПРИ  ПРИДОБИВАНЕТО, УПРАВЛЕНИЕТО И РАЗПОРЕЖДАНЕТО  С ОБЩИНСКА СОБСТВЕНОСТ</w:t>
      </w:r>
    </w:p>
    <w:p w:rsidR="00840DB2" w:rsidRPr="00E31734" w:rsidRDefault="00840DB2" w:rsidP="00840DB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734">
        <w:rPr>
          <w:rFonts w:ascii="Times New Roman" w:eastAsia="Times New Roman" w:hAnsi="Times New Roman" w:cs="Times New Roman"/>
          <w:b/>
          <w:bCs/>
          <w:sz w:val="26"/>
          <w:szCs w:val="26"/>
        </w:rPr>
        <w:t>1.Принципи при придобиване, управление и разпореждане с общинската собственост</w:t>
      </w:r>
    </w:p>
    <w:p w:rsidR="00840DB2" w:rsidRPr="00E31734" w:rsidRDefault="00840DB2" w:rsidP="00840DB2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Законосъобразност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Общинският съвет, Кметът на Общината, кметовете на кметства и кметските наместници ще вземат решения в рамките правомощията си, установени от закона и подзаконовите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нормативни актове. Актовете за придобиване, управление и разпореждане с общинско имущество ще се издават на основанията и по реда предвиден в закона.</w:t>
      </w:r>
    </w:p>
    <w:p w:rsidR="00840DB2" w:rsidRPr="00E31734" w:rsidRDefault="00840DB2" w:rsidP="00840DB2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Целесъобразност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Решенията за придобиване, управление и разпореждане с общинска собственост ще се вземат по целесъобразност, при спазване на закона и установените в тази стратегия принципи цели и приоритети, след взимане на становища от кметските съвети при кметствата и кметските наместничества, граждански структури и обществени дискусии. </w:t>
      </w:r>
    </w:p>
    <w:p w:rsidR="00840DB2" w:rsidRPr="00E31734" w:rsidRDefault="00840DB2" w:rsidP="00840DB2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Приоритетност</w:t>
      </w:r>
      <w:proofErr w:type="spellEnd"/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обществения интерес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При упражняване на правомощията си по придобиване, управление и разпореждане с общинско имущество, органите приоритетно ще следят за защита на обществения интерес. Имотите и вещите общинска собственост ще се управляват в интерес на населението на общината, с грижата на добър стопанин, съобразно предназначението и нуждите, за които са предоставени.</w:t>
      </w:r>
    </w:p>
    <w:p w:rsidR="00840DB2" w:rsidRPr="00E31734" w:rsidRDefault="00840DB2" w:rsidP="00840DB2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Публичност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При придобиване, управление и разпореждане с общинско имущество органите ще осигуряват откритост, достоверност и пълнота на информацията в рамките на закона. </w:t>
      </w:r>
    </w:p>
    <w:p w:rsidR="00840DB2" w:rsidRPr="00E31734" w:rsidRDefault="00840DB2" w:rsidP="00840DB2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Състезателност 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Управлението и разпореждането с общинско имущество ще се извършва след провеждането на публичен търг или публично оповестен конкурс по ред и начин, определени в Наредбата за реда за придобиване, управление и разпореждане с общинско имущество. </w:t>
      </w:r>
    </w:p>
    <w:p w:rsidR="00840DB2" w:rsidRPr="00E31734" w:rsidRDefault="00840DB2" w:rsidP="00840DB2">
      <w:pPr>
        <w:keepNext/>
        <w:spacing w:before="240" w:after="60" w:line="240" w:lineRule="auto"/>
        <w:ind w:firstLine="56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734">
        <w:rPr>
          <w:rFonts w:ascii="Times New Roman" w:eastAsia="Times New Roman" w:hAnsi="Times New Roman" w:cs="Times New Roman"/>
          <w:b/>
          <w:bCs/>
          <w:sz w:val="26"/>
          <w:szCs w:val="26"/>
        </w:rPr>
        <w:t>2.Основни цели</w:t>
      </w:r>
    </w:p>
    <w:p w:rsidR="00840DB2" w:rsidRPr="00E31734" w:rsidRDefault="00840DB2" w:rsidP="00840DB2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2.1.Осигуряване на устойчиво развитие на общината, подобряване селищната и жизнена среда, създаване на условия за бизнес, култура, спорт, отдих, туризъм и повишаване на сигурността.</w:t>
      </w:r>
    </w:p>
    <w:p w:rsidR="00840DB2" w:rsidRPr="00E31734" w:rsidRDefault="00840DB2" w:rsidP="00840DB2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>.Отношение към общинската собственост  с грижата на добър стопанин. Поддържането й в оптимален обем, структура и стремеж към ефективно управление в интерес на населението. Използване на възможностите на Закона за общинската собственост за нейното увеличаване.</w:t>
      </w:r>
    </w:p>
    <w:p w:rsidR="00840DB2" w:rsidRPr="00E31734" w:rsidRDefault="00840DB2" w:rsidP="00840DB2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2.3.Придобиването на имоти, които са необходими за реализиране на мероприятия с пряко обществено значение, свързани с подобряване и разширяване на общинската инфраструктура.</w:t>
      </w:r>
    </w:p>
    <w:p w:rsidR="00840DB2" w:rsidRPr="00E31734" w:rsidRDefault="00840DB2" w:rsidP="00840DB2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2.4.Ефективно и максимално използване на възможностите на общинският поземлен фонд.</w:t>
      </w:r>
    </w:p>
    <w:p w:rsidR="00840DB2" w:rsidRPr="00E31734" w:rsidRDefault="00840DB2" w:rsidP="00840DB2">
      <w:pPr>
        <w:keepNext/>
        <w:spacing w:before="240" w:after="60" w:line="240" w:lineRule="auto"/>
        <w:ind w:firstLine="56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734">
        <w:rPr>
          <w:rFonts w:ascii="Times New Roman" w:eastAsia="Times New Roman" w:hAnsi="Times New Roman" w:cs="Times New Roman"/>
          <w:b/>
          <w:bCs/>
          <w:sz w:val="26"/>
          <w:szCs w:val="26"/>
        </w:rPr>
        <w:t>3.Основни приоритети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Основните приоритети в работата на общинска администрация по придобиване, управление и разпореждане с общинското имущество ще са:</w:t>
      </w:r>
    </w:p>
    <w:p w:rsidR="00840DB2" w:rsidRPr="00E31734" w:rsidRDefault="00840DB2" w:rsidP="00840D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Анализ на състоянието на общинската собственост, включващ установяването на:</w:t>
      </w:r>
    </w:p>
    <w:p w:rsidR="00840DB2" w:rsidRPr="00E31734" w:rsidRDefault="00840DB2" w:rsidP="00840DB2">
      <w:pPr>
        <w:numPr>
          <w:ilvl w:val="0"/>
          <w:numId w:val="6"/>
        </w:numPr>
        <w:tabs>
          <w:tab w:val="num" w:pos="1134"/>
        </w:tabs>
        <w:spacing w:after="0" w:line="240" w:lineRule="auto"/>
        <w:ind w:hanging="5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слаби страни и рискове при управлението;</w:t>
      </w:r>
    </w:p>
    <w:p w:rsidR="00840DB2" w:rsidRPr="00E31734" w:rsidRDefault="00840DB2" w:rsidP="00840DB2">
      <w:pPr>
        <w:numPr>
          <w:ilvl w:val="0"/>
          <w:numId w:val="6"/>
        </w:numPr>
        <w:tabs>
          <w:tab w:val="num" w:pos="1134"/>
        </w:tabs>
        <w:spacing w:after="0" w:line="240" w:lineRule="auto"/>
        <w:ind w:hanging="5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плюсове и възможности за развитие на потенциала.</w:t>
      </w:r>
    </w:p>
    <w:p w:rsidR="00840DB2" w:rsidRPr="00E31734" w:rsidRDefault="00840DB2" w:rsidP="00840D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Гарантиране на оптимално задоволяване на нуждите на администрацията и на </w:t>
      </w:r>
    </w:p>
    <w:p w:rsidR="00840DB2" w:rsidRPr="00E31734" w:rsidRDefault="00840DB2" w:rsidP="00840D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звената на бюджетна издръжка от общинска собственост, включваща сграден фонд и обслужващи вещи.</w:t>
      </w:r>
    </w:p>
    <w:p w:rsidR="00840DB2" w:rsidRPr="00E31734" w:rsidRDefault="00840DB2" w:rsidP="00840D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3.Ефективност в управлението и разпореждането с общински имоти с цел увеличаване на собствените приходи на общината.</w:t>
      </w:r>
    </w:p>
    <w:p w:rsidR="00840DB2" w:rsidRPr="00E31734" w:rsidRDefault="00840DB2" w:rsidP="00840D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>4.Създаване на всички необходими предпоставки за прозрачност в действията на общинската администрация и общински  съвет в дейността по придобиване и управление с общинско имущество.</w:t>
      </w:r>
    </w:p>
    <w:p w:rsidR="00840DB2" w:rsidRPr="00E31734" w:rsidRDefault="00840DB2" w:rsidP="00840D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5. Търсене на възможност за подобряване състоянието на сгради – общинска собственост.</w:t>
      </w:r>
    </w:p>
    <w:p w:rsidR="00840DB2" w:rsidRPr="00E31734" w:rsidRDefault="00840DB2" w:rsidP="00840DB2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ІV. ОСНОВНИ ХАРАКТЕРИСТИКИ НА ОТДЕЛНИТЕ ВИДОВЕ ИМОТИ, КОИТО МОГАТ ДА СЕ ПРЕДОСТАВЯТ ПОД НАЕМ ИЛИ ДА БЪДАТ ПРЕДМЕТ НА РАЗПОРЕЖДАНЕ. АНАЛИЗ НА СЪСТОЯНИЕТО НА ВИДОВЕТЕ ИМОТИ ОБЩИНСКА СОБСТВЕНОСТ. </w:t>
      </w:r>
      <w:r w:rsidRPr="00E3173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КОНКРЕТНИ ПОЛИТИКИ И ЗАДАЧИ ЗА ПОСТИГАНЕ НА ЦЕЛИТЕ НА НАСТОЯЩАТА СТРАТЕГИЯ</w:t>
      </w:r>
    </w:p>
    <w:p w:rsidR="00840DB2" w:rsidRPr="00E31734" w:rsidRDefault="00840DB2" w:rsidP="00840DB2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t>ІV.1. АКТУВАНЕ НА ОБЩИНСКАТА СОБСТВЕНОСТ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 влизане в сила на ЗОС от 01.06.1996 год., стартира процедура по съставяне на актове за имоти общинска собственост.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Идеята на законодателя към онзи момент, е  в 6 /шест/ месечен срок да приключи процеса на актуване. Но този срок се оказва непосилен не само за общините, но и за  службите от Областните администрации.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Деактуването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на актовете за държавна собственост е много тромава и трудоемка процедура, която се предхожда от издаване на комбинирани скици на съответните имоти, от техническите служби, и на основание налични документи се прави идентификация на имотите.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В продължение на години общините са съставяли  актове за общинска собственост, след което са ги изпращали на Областния управител с искане за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деактуване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на акта за държавна собственост, ако има съставен такъв. Този способ се оказва неудобен, имайки предвид, че във всеки един момент Общината може да получи отказ за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деактуване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, след което започват съдебни спорове. Към настоящия момент законодателят е постановил първо да се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деактувава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 акта за държавна собственост от Областен управител, след което, на основание издадена заповед за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деактуване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>, да се съставя акт за общинска собственост.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Съгласно Главните регистри на общинската собственост – публична и частна, в Община Никопол към 31.12.</w:t>
      </w:r>
      <w:r w:rsidRPr="00E31734">
        <w:rPr>
          <w:rFonts w:ascii="Times New Roman" w:eastAsia="Times New Roman" w:hAnsi="Times New Roman" w:cs="Times New Roman"/>
          <w:sz w:val="24"/>
          <w:szCs w:val="24"/>
          <w:lang w:val="en-US"/>
        </w:rPr>
        <w:t>201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9 г. има съставени 4 608 броя акта за общинска собственост.</w:t>
      </w:r>
    </w:p>
    <w:p w:rsidR="00840DB2" w:rsidRPr="00E31734" w:rsidRDefault="00840DB2" w:rsidP="00840DB2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влизане в сила на Кадастрални карти и кадастрални регистри през 2019 година за 13 землища на територията на общината, следва </w:t>
      </w:r>
      <w:proofErr w:type="spellStart"/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прекатуване</w:t>
      </w:r>
      <w:proofErr w:type="spellEnd"/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имотите на основание чл.59, ал.1 от ЗОС.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Анализирайки процеса на актуване на общинските имоти се открояват следните: </w:t>
      </w:r>
    </w:p>
    <w:p w:rsidR="00840DB2" w:rsidRPr="00E31734" w:rsidRDefault="00840DB2" w:rsidP="00840DB2">
      <w:pPr>
        <w:spacing w:after="12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В процеса на актуване се открояват следните:</w:t>
      </w:r>
    </w:p>
    <w:p w:rsidR="00840DB2" w:rsidRPr="00E31734" w:rsidRDefault="00840DB2" w:rsidP="00840DB2">
      <w:pPr>
        <w:spacing w:after="0" w:line="240" w:lineRule="auto"/>
        <w:ind w:left="284" w:hanging="28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Рискове и слаби страни</w:t>
      </w:r>
    </w:p>
    <w:p w:rsidR="00840DB2" w:rsidRPr="00E31734" w:rsidRDefault="00840DB2" w:rsidP="00840DB2">
      <w:pPr>
        <w:numPr>
          <w:ilvl w:val="0"/>
          <w:numId w:val="15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недостатъчен брой специалисти за обследване /идентификация/ на общинската </w:t>
      </w:r>
    </w:p>
    <w:p w:rsidR="00840DB2" w:rsidRPr="00E31734" w:rsidRDefault="00840DB2" w:rsidP="00840DB2">
      <w:p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собственост и актуване , предвид влязла в сила кадастрална карта за земеделските земи и необходимост от съставяне на нови актове за общинска собственост по кадастрална карта.</w:t>
      </w:r>
    </w:p>
    <w:p w:rsidR="00840DB2" w:rsidRPr="00E31734" w:rsidRDefault="00840DB2" w:rsidP="00840DB2">
      <w:pPr>
        <w:numPr>
          <w:ilvl w:val="0"/>
          <w:numId w:val="14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изхабени планове, по които трудно се идентифицират имотите;</w:t>
      </w:r>
    </w:p>
    <w:p w:rsidR="00840DB2" w:rsidRPr="00E31734" w:rsidRDefault="00840DB2" w:rsidP="00840DB2">
      <w:pPr>
        <w:numPr>
          <w:ilvl w:val="0"/>
          <w:numId w:val="14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наличие на повече от 1/един/ отменени планове;</w:t>
      </w:r>
    </w:p>
    <w:p w:rsidR="00840DB2" w:rsidRPr="00E31734" w:rsidRDefault="00840DB2" w:rsidP="00840DB2">
      <w:pPr>
        <w:spacing w:before="240" w:after="60" w:line="240" w:lineRule="auto"/>
        <w:ind w:left="284" w:hanging="282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Плюсове и възможности</w:t>
      </w:r>
    </w:p>
    <w:p w:rsidR="00840DB2" w:rsidRPr="00E31734" w:rsidRDefault="00840DB2" w:rsidP="00840DB2">
      <w:pPr>
        <w:numPr>
          <w:ilvl w:val="0"/>
          <w:numId w:val="16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влизане в действие на компютъризирана информационна система, </w:t>
      </w:r>
    </w:p>
    <w:p w:rsidR="00840DB2" w:rsidRPr="00E31734" w:rsidRDefault="00840DB2" w:rsidP="00840DB2">
      <w:pPr>
        <w:numPr>
          <w:ilvl w:val="0"/>
          <w:numId w:val="16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осъществяваща директна връзка с кадастъра и имотния регистър, съгласно изискванията на ЗКИР;</w:t>
      </w:r>
    </w:p>
    <w:p w:rsidR="00840DB2" w:rsidRPr="00E31734" w:rsidRDefault="00840DB2" w:rsidP="00840DB2">
      <w:pPr>
        <w:numPr>
          <w:ilvl w:val="0"/>
          <w:numId w:val="16"/>
        </w:numPr>
        <w:spacing w:after="0" w:line="240" w:lineRule="auto"/>
        <w:ind w:left="284" w:hanging="2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Общината, нови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устройствени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планове и кадастрални карти;</w:t>
      </w:r>
    </w:p>
    <w:p w:rsidR="00840DB2" w:rsidRPr="00E31734" w:rsidRDefault="00840DB2" w:rsidP="00840DB2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DB2" w:rsidRPr="00E31734" w:rsidRDefault="00840DB2" w:rsidP="00840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Приоритети и задачи за постигане на целите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Приоритети: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1. Да се извърши обследване на имотите и пълна идентификация на общинската собственост.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 Да се извърши изчертаване на скици за съответните имоти.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3. Създаване на досиета и картотеки за актуваните имоти.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През изминалите години от влизане в сила на ЗОС, работата по обследване и актуване на общинската собственост е извършвана с възможностите на отдела.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Приключване на актуването ще даде ясна картина за наличната общинска собственост, която пък от своя страна е предпоставка за вземане на правилни решения за управление и разпореждане. Изясняване на собствеността дава възможност за защита на Общината и при изготвяне на кадастрални карти. Една неизяснена собственост предполага загубата  при евентуален спор в съдебна зала.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DB2" w:rsidRPr="00E31734" w:rsidRDefault="00840DB2" w:rsidP="00840DB2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ІV.2. АНАЛИЗ НА ИМОТИТЕ – ОБЩИНСКА СОБСТВЕНОСТ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Структурирана по вид и предназначение на имотите, общинската собственост е посочена в справки приложения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696"/>
        <w:gridCol w:w="1786"/>
      </w:tblGrid>
      <w:tr w:rsidR="00840DB2" w:rsidRPr="00E31734" w:rsidTr="00F6596F">
        <w:trPr>
          <w:jc w:val="center"/>
        </w:trPr>
        <w:tc>
          <w:tcPr>
            <w:tcW w:w="763" w:type="dxa"/>
            <w:shd w:val="clear" w:color="auto" w:fill="B4C6E7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lang w:eastAsia="bg-BG"/>
              </w:rPr>
              <w:t>№ по ред</w:t>
            </w:r>
          </w:p>
        </w:tc>
        <w:tc>
          <w:tcPr>
            <w:tcW w:w="6696" w:type="dxa"/>
            <w:shd w:val="clear" w:color="auto" w:fill="B4C6E7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lang w:eastAsia="bg-BG"/>
              </w:rPr>
              <w:t>Вид на имота</w:t>
            </w:r>
          </w:p>
        </w:tc>
        <w:tc>
          <w:tcPr>
            <w:tcW w:w="1786" w:type="dxa"/>
            <w:shd w:val="clear" w:color="auto" w:fill="B4C6E7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lang w:eastAsia="bg-BG"/>
              </w:rPr>
              <w:t>Брой</w:t>
            </w:r>
          </w:p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lang w:eastAsia="bg-BG"/>
              </w:rPr>
              <w:t>имоти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Не застроени имоти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206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val="en-US" w:eastAsia="bg-BG"/>
              </w:rPr>
              <w:t>2.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 xml:space="preserve">Застроени не жилищни имоти (сгради и части от сгради), </w:t>
            </w:r>
          </w:p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 xml:space="preserve">в т.ч. 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495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2.1.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Детски градини и ясли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proofErr w:type="spellStart"/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proofErr w:type="spellEnd"/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Училища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2.3.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Читалища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2.4.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Сгради на кметства/част от сгради в съсобственост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2.5.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Здравни заведения-сгради/части от сгради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Жилищни имоти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Гробищни паркове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Спортни имоти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Общински поземлен фонд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2968</w:t>
            </w:r>
          </w:p>
        </w:tc>
      </w:tr>
      <w:tr w:rsidR="00840DB2" w:rsidRPr="00E31734" w:rsidTr="00F6596F">
        <w:trPr>
          <w:jc w:val="center"/>
        </w:trPr>
        <w:tc>
          <w:tcPr>
            <w:tcW w:w="763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6696" w:type="dxa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Гори и земи от горски фонд</w:t>
            </w:r>
          </w:p>
        </w:tc>
        <w:tc>
          <w:tcPr>
            <w:tcW w:w="1786" w:type="dxa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lang w:eastAsia="bg-BG"/>
              </w:rPr>
              <w:t>143</w:t>
            </w:r>
          </w:p>
        </w:tc>
      </w:tr>
    </w:tbl>
    <w:p w:rsidR="00840DB2" w:rsidRPr="00E31734" w:rsidRDefault="00840DB2" w:rsidP="00840DB2">
      <w:pPr>
        <w:spacing w:after="0" w:line="240" w:lineRule="auto"/>
        <w:ind w:right="-648" w:firstLine="70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НЕЗАСТРОЕНИ И ЗАСТРОЕНИ ПОЗЕМЛЕНИ ИМОТИ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 влизането в сила на Закона за общинската собственост, приоритетно са отписани от актовите книги на държавните имоти и са съставени актове за общинска собственост на застроените имоти, които представляват административни сгради, училища, детски градини, читалища, здравни заведения, жилища и др.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Незастроените поземлени имоти – общинска собственост могат да бъдат характеризирани, както следва: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- имоти с отреждания за обществено обслужване, гаражи, озеленяване, трафопост, детски площадки и други;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- имоти с учредено, но не реализирано право на строеж за индивидуално жилищно строителство;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- свободни общински терени, за които не е имало образувани поземлени имоти по предходните кадастрални планове.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Застроените поземлени имоти включват: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- имоти с учредено и реализирано право на строеж за индивидуално жилищно строителство;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- имоти с реализирано право на строеж за жилищно строителство, върху които са построени жилищни блокове както в комплексите, така и извън тях;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- имоти, върху които е построен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сградния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фонд на Община Никопол.</w:t>
      </w:r>
    </w:p>
    <w:p w:rsidR="00840DB2" w:rsidRPr="00E31734" w:rsidRDefault="00840DB2" w:rsidP="00840D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Сградният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фонд на Община Никопол включва: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сгради за </w:t>
      </w:r>
      <w:r w:rsidRPr="00E31734">
        <w:rPr>
          <w:rFonts w:ascii="Times New Roman" w:eastAsia="Times New Roman" w:hAnsi="Times New Roman" w:cs="Times New Roman"/>
          <w:sz w:val="24"/>
          <w:szCs w:val="24"/>
          <w:lang w:val="x-none"/>
        </w:rPr>
        <w:t>изпълнение на функциите на органите на местното самоуправление и местната администрация;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обществено обслужващи сгради – здравни служби, училища, детски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градини, читалища, музей;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всички обществено значими сгради на територията на общината;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сгради – паметници на културата;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помещения в сгради;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апартаменти и къщи, представляващи жилищния фонд на общината;</w:t>
      </w:r>
    </w:p>
    <w:p w:rsidR="00840DB2" w:rsidRPr="00E31734" w:rsidRDefault="00840DB2" w:rsidP="00840D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840DB2" w:rsidRPr="00E31734" w:rsidRDefault="00840DB2" w:rsidP="00840DB2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Застроените имоти общинска собственост се управляват,  чрез  предоставяне за безвъзмездно право на  ползване, отдаване под наем  и  предоставени за управление.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Към настоящия момент Община Никопол има сключени 40 бр. договори по отношение на нежилищни имоти – общинска собственост, както следва: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58"/>
        <w:gridCol w:w="1130"/>
        <w:gridCol w:w="2123"/>
        <w:gridCol w:w="2635"/>
        <w:gridCol w:w="1419"/>
      </w:tblGrid>
      <w:tr w:rsidR="00840DB2" w:rsidRPr="00E31734" w:rsidTr="00F6596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bg-BG"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Дог 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Дата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Нас. място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Вид обект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</w:rPr>
            </w:pPr>
            <w:r w:rsidRPr="00E31734">
              <w:rPr>
                <w:rFonts w:ascii="MS Sans Serif" w:eastAsia="Times New Roman" w:hAnsi="MS Sans Serif" w:cs="Arial"/>
                <w:b/>
                <w:bCs/>
              </w:rPr>
              <w:t>в сила до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07.03.2014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с.Муселиево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лекарски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31.12.2023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07.03.2014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с.Въбел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лекарски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31.12.2023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27.01.2017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с.Бацова махала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26.01.2022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27.01.2017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с.Лозица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26.01.2022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11.02.2013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с.Драгаш войвода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31.10.2022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05.02.2019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с.Любеново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лекарски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31.12.2023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05.02.2019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с.Лозица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лекарски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31.12.2023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16.08.2016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с.Драгаш войвода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автомат за пакетаж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14.04.2021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11.05.2016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с.Евлогиево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магазин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10.05.2021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02.06.2017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31.05.2022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02.06.2017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31.05.2022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15.04.2013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с.Драгаш войвода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31.03.2023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18.06.2010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с.Въбел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19.05.2020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03.06.2016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02.06.2021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12.04.2018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11.04.2023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01.08.2016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рибарски магазин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31.07.2026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13.05.2019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с.Муселиево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лекарски кабинет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31.05.2020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23.05.2018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с.Санадиново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22.05.2023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14.08.2017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Любеново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13.08.2022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18.06.2018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с.Муселиево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17.06.2028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18.06.2018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с.Бацова махала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17.06.2023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18.06.2018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17.06.2023</w:t>
            </w:r>
          </w:p>
        </w:tc>
      </w:tr>
      <w:tr w:rsidR="00840DB2" w:rsidRPr="00E31734" w:rsidTr="00F6596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18.06.2018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автомат за топли напитки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17.06.2023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07.09.2016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с.Санадиново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06.09.2021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lastRenderedPageBreak/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26.06.2018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с.Черковица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25.06.2023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11.07.2018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10.07.2023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11.07.2018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10.07.2023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20.07.2018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с.Евлогиево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19.07.2023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30.09.2016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30.09.2021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15.08.2019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с.Санадиново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автомат за пакетаж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14.08.2024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12.</w:t>
            </w:r>
            <w:proofErr w:type="spellStart"/>
            <w:r w:rsidRPr="00E31734">
              <w:rPr>
                <w:rFonts w:ascii="MS Sans Serif" w:eastAsia="Times New Roman" w:hAnsi="MS Sans Serif" w:cs="Arial"/>
              </w:rPr>
              <w:t>12</w:t>
            </w:r>
            <w:proofErr w:type="spellEnd"/>
            <w:r w:rsidRPr="00E31734">
              <w:rPr>
                <w:rFonts w:ascii="MS Sans Serif" w:eastAsia="Times New Roman" w:hAnsi="MS Sans Serif" w:cs="Arial"/>
              </w:rPr>
              <w:t>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с.Жернов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офис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31.12.2022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13.12.2017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с.Лозица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дворно място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12.</w:t>
            </w:r>
            <w:proofErr w:type="spellStart"/>
            <w:r w:rsidRPr="00E31734">
              <w:rPr>
                <w:rFonts w:ascii="MS Sans Serif" w:eastAsia="Times New Roman" w:hAnsi="MS Sans Serif" w:cs="Arial"/>
              </w:rPr>
              <w:t>12</w:t>
            </w:r>
            <w:proofErr w:type="spellEnd"/>
            <w:r w:rsidRPr="00E31734">
              <w:rPr>
                <w:rFonts w:ascii="MS Sans Serif" w:eastAsia="Times New Roman" w:hAnsi="MS Sans Serif" w:cs="Arial"/>
              </w:rPr>
              <w:t>.2027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29.08.2024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29.08.2024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29.08.2024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29.08.2024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30.08.2019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гр.Никопол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29.08.2024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21.12.2017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с.Новачене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20.12.2022</w:t>
            </w:r>
          </w:p>
        </w:tc>
      </w:tr>
      <w:tr w:rsidR="00840DB2" w:rsidRPr="00E31734" w:rsidTr="00F6596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29.10.2019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с.Черковица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терен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28.10.2024</w:t>
            </w:r>
          </w:p>
        </w:tc>
      </w:tr>
      <w:tr w:rsidR="00840DB2" w:rsidRPr="00E31734" w:rsidTr="00F659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323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27.12.2010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с.Бацова махала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помещение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</w:rPr>
            </w:pPr>
            <w:r w:rsidRPr="00E31734">
              <w:rPr>
                <w:rFonts w:ascii="MS Sans Serif" w:eastAsia="Times New Roman" w:hAnsi="MS Sans Serif" w:cs="Arial"/>
              </w:rPr>
              <w:t>21.12.2020</w:t>
            </w:r>
          </w:p>
        </w:tc>
      </w:tr>
    </w:tbl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DB2" w:rsidRPr="00E31734" w:rsidRDefault="00840DB2" w:rsidP="00840D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Политиката на Община Никопол по отношение на незастроените и застроени имоти – общинска собственост през периода 2020 г. – 2023 г. ще бъде: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1. Продължаване на процеса на издирване, идентификация и актуване на общински имоти.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2. Съсредоточаване на усилията върху у</w:t>
      </w:r>
      <w:r w:rsidRPr="00E31734">
        <w:rPr>
          <w:rFonts w:ascii="Times New Roman" w:eastAsia="Times New Roman" w:hAnsi="Times New Roman" w:cs="Times New Roman"/>
          <w:bCs/>
          <w:sz w:val="24"/>
          <w:szCs w:val="24"/>
        </w:rPr>
        <w:t>правлението на поземлени имоти – общинска собственост.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sz w:val="24"/>
          <w:szCs w:val="24"/>
        </w:rPr>
        <w:t>3. Разпореждане с поземлени имот - общинска собственост ще се извършва след обстоен анализ и при доказана необходимост.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sz w:val="24"/>
          <w:szCs w:val="24"/>
        </w:rPr>
        <w:t>4. Увеличаване на общинската собственост чрез възможностите, предоставени от Закона за общинската собственост.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sz w:val="24"/>
          <w:szCs w:val="24"/>
        </w:rPr>
        <w:t>5. Използване на поземлени имоти – общинска собственост за р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азвитие на базисната инфраструктура.</w:t>
      </w:r>
    </w:p>
    <w:p w:rsidR="00840DB2" w:rsidRPr="00E31734" w:rsidRDefault="00840DB2" w:rsidP="00840D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7.Осъществяване на публично-частни партньорства в имоти – общинска собственост, изискващи значителни инвестиции.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Изследване възможността за строителство на гаражи в УПИ-та, общинска  собственост и изготвяне на разработки за учредяване право на строеж за гаражи.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9.Ускоряване процеса на  изграждане на инфраструктура в квартали, където е необходимо.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Анализирайки състоянието на този вид общинска собственост се открояват следните: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Рискове и слаби страни</w:t>
      </w:r>
    </w:p>
    <w:p w:rsidR="00840DB2" w:rsidRPr="00E31734" w:rsidRDefault="00840DB2" w:rsidP="00840DB2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остаряващ сграден фонд за нуждите на общинска администрация по кметствата и кметските наместничества;</w:t>
      </w:r>
    </w:p>
    <w:p w:rsidR="00840DB2" w:rsidRPr="00E31734" w:rsidRDefault="00840DB2" w:rsidP="00840DB2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влошаване състоянието на сградите на закритите училища и детски градини;</w:t>
      </w:r>
    </w:p>
    <w:p w:rsidR="00840DB2" w:rsidRPr="00E31734" w:rsidRDefault="00840DB2" w:rsidP="00840DB2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недостиг на средства за поддръжка и ремонт на сградите; </w:t>
      </w:r>
    </w:p>
    <w:p w:rsidR="00840DB2" w:rsidRPr="00E31734" w:rsidRDefault="00840DB2" w:rsidP="00840DB2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някои от имотите – общинска собственост са в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съсобствени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сгради;</w:t>
      </w:r>
    </w:p>
    <w:p w:rsidR="00840DB2" w:rsidRPr="00E31734" w:rsidRDefault="00840DB2" w:rsidP="00840DB2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проблематична поддръжка и охрана на сградите на закритите учебни заведения. </w:t>
      </w:r>
    </w:p>
    <w:p w:rsidR="00840DB2" w:rsidRPr="00E31734" w:rsidRDefault="00840DB2" w:rsidP="00840DB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Плюсове и възможности</w:t>
      </w:r>
    </w:p>
    <w:p w:rsidR="00840DB2" w:rsidRPr="00E31734" w:rsidRDefault="00840DB2" w:rsidP="00840DB2">
      <w:pPr>
        <w:numPr>
          <w:ilvl w:val="0"/>
          <w:numId w:val="10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осигуряване на средства чрез различни финансови инструменти за подобряване състоянието  на имотите;</w:t>
      </w:r>
    </w:p>
    <w:p w:rsidR="00840DB2" w:rsidRPr="00E31734" w:rsidRDefault="00840DB2" w:rsidP="00840DB2">
      <w:pPr>
        <w:numPr>
          <w:ilvl w:val="0"/>
          <w:numId w:val="10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оптимизиране процеса на управление;</w:t>
      </w:r>
    </w:p>
    <w:p w:rsidR="00840DB2" w:rsidRPr="00E31734" w:rsidRDefault="00840DB2" w:rsidP="00840DB2">
      <w:pPr>
        <w:numPr>
          <w:ilvl w:val="0"/>
          <w:numId w:val="10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използване на сградите на закритите училища за социални и хуманитарни </w:t>
      </w:r>
    </w:p>
    <w:p w:rsidR="00840DB2" w:rsidRPr="00E31734" w:rsidRDefault="00840DB2" w:rsidP="00840DB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дейности, а при липсата на кандидати за тези дейности, провеждане процедура по промяна на отреждането на имота, с цел разпореждане с имота;</w:t>
      </w:r>
    </w:p>
    <w:p w:rsidR="00840DB2" w:rsidRPr="00E31734" w:rsidRDefault="00840DB2" w:rsidP="00840DB2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Сградният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фонд, при необходимост може да бъде използван при бедствени </w:t>
      </w:r>
    </w:p>
    <w:p w:rsidR="00840DB2" w:rsidRPr="00E31734" w:rsidRDefault="00840DB2" w:rsidP="00840DB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ситуации и аварии.</w:t>
      </w:r>
    </w:p>
    <w:p w:rsidR="00840DB2" w:rsidRPr="00E31734" w:rsidRDefault="00840DB2" w:rsidP="00840D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Политиката на Община Никопол по отношение на </w:t>
      </w:r>
      <w:proofErr w:type="spellStart"/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сградния</w:t>
      </w:r>
      <w:proofErr w:type="spellEnd"/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фонд за нуждите на Общинска администрация – Никопол, кметствата и кметските наместничества, детски градини и училища ще бъде: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1. Подобряване на материално-техническата база и условията на обучение чрез- използване на всички възможности за кандидатстване по проекти за външно финансиране.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2. Предприемане на мерки за енергийно саниране на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сградния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фонд за административни нужди.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3. Анализиране на разходите по поддръжка на сградите на закритите учебни заведения, с оглед вземане на решение за разпореждане.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4. Активни действия за осигуряване на възможности за използване на някои от сградите на закритите учебни заведения за социални дейности и хуманитарни дейности, а при липса на интерес за такива,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преотреждане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на имотите и разпореждане с тях.</w:t>
      </w:r>
      <w:r w:rsidRPr="00E317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840DB2" w:rsidRPr="00E31734" w:rsidRDefault="00840DB2" w:rsidP="00840DB2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</w:rPr>
      </w:pPr>
      <w:r w:rsidRPr="00E31734">
        <w:rPr>
          <w:rFonts w:ascii="Times New Roman" w:eastAsia="Times New Roman" w:hAnsi="Times New Roman" w:cs="Times New Roman"/>
          <w:b/>
          <w:i/>
        </w:rPr>
        <w:t xml:space="preserve">ІV.3. АНАЛИЗ НА  ОБЩИНСКИ ЖИЛИЩНИ ИМОТИ 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Общинският жилищен фонд включва 31 бр. жилища и е разпределен по видове с Решение от Общински съвет Никопол, както следва:</w:t>
      </w:r>
    </w:p>
    <w:p w:rsidR="00840DB2" w:rsidRPr="00E31734" w:rsidRDefault="00840DB2" w:rsidP="00840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1. ЖИЛИЩА ЗА КАРТОТЕКИРАНИ ГРАЖДАНИ – 21 БРОЯ /две свободни/</w:t>
      </w:r>
    </w:p>
    <w:tbl>
      <w:tblPr>
        <w:tblW w:w="90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037"/>
        <w:gridCol w:w="992"/>
        <w:gridCol w:w="1701"/>
        <w:gridCol w:w="2126"/>
        <w:gridCol w:w="1418"/>
      </w:tblGrid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ЖИЛИЩЕН БЛОК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АП. 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 /КВ.М/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317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1”</w:t>
              </w:r>
            </w:smartTag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317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1”</w:t>
              </w:r>
            </w:smartTag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„Никопол”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28.80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„Никопол”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„Никопол”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„Еделвайс”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30.17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„Еделвайс”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30.17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„Еделвайс”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30.17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30.17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„Изгрев”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56.07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„Изгрев”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56.07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„Чайка”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58.53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„Чайка”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58.53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„Шишман”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59.23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317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1”</w:t>
              </w:r>
            </w:smartTag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„Изгрев”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„ГНС”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39.40</w:t>
            </w:r>
          </w:p>
        </w:tc>
      </w:tr>
    </w:tbl>
    <w:p w:rsidR="00840DB2" w:rsidRPr="00E31734" w:rsidRDefault="00840DB2" w:rsidP="00840DB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ВЕДОМСТВЕНИ ЖИЛИЩА – 7 БРОЯ /две свободни/</w:t>
      </w:r>
    </w:p>
    <w:tbl>
      <w:tblPr>
        <w:tblW w:w="901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037"/>
        <w:gridCol w:w="992"/>
        <w:gridCol w:w="1701"/>
        <w:gridCol w:w="2126"/>
        <w:gridCol w:w="1418"/>
      </w:tblGrid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ЖИЛИЩЕН БЛОК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АП. №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 КВ.М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„Венера”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„Венера”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„Еделвайс”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„Щастливец”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30.96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„Никопол”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31.65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„Никопол”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45.17</w:t>
            </w:r>
          </w:p>
        </w:tc>
      </w:tr>
      <w:tr w:rsidR="00840DB2" w:rsidRPr="00E31734" w:rsidTr="00F6596F">
        <w:tc>
          <w:tcPr>
            <w:tcW w:w="74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„Здравец”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72.79</w:t>
            </w:r>
          </w:p>
        </w:tc>
      </w:tr>
    </w:tbl>
    <w:p w:rsidR="00840DB2" w:rsidRPr="00E31734" w:rsidRDefault="00840DB2" w:rsidP="00840DB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3.РЕЗЕРВНИ ЖИЛИЩА – 3 БРОЯ /две свободни/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992"/>
        <w:gridCol w:w="1985"/>
        <w:gridCol w:w="1842"/>
        <w:gridCol w:w="1418"/>
      </w:tblGrid>
      <w:tr w:rsidR="00840DB2" w:rsidRPr="00E31734" w:rsidTr="00F6596F">
        <w:tc>
          <w:tcPr>
            <w:tcW w:w="85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984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ЖИЛИЩЕН БЛОК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98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АП. №</w:t>
            </w:r>
          </w:p>
        </w:tc>
        <w:tc>
          <w:tcPr>
            <w:tcW w:w="184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 КВ.М</w:t>
            </w:r>
          </w:p>
        </w:tc>
      </w:tr>
      <w:tr w:rsidR="00840DB2" w:rsidRPr="00E31734" w:rsidTr="00F6596F">
        <w:tc>
          <w:tcPr>
            <w:tcW w:w="85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„Венера”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боксониера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840DB2" w:rsidRPr="00E31734" w:rsidTr="00F6596F">
        <w:tc>
          <w:tcPr>
            <w:tcW w:w="85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„ДЗС”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гарсониера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46.04</w:t>
            </w:r>
          </w:p>
        </w:tc>
      </w:tr>
      <w:tr w:rsidR="00840DB2" w:rsidRPr="00E31734" w:rsidTr="00F6596F">
        <w:tc>
          <w:tcPr>
            <w:tcW w:w="851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„Шишман”</w:t>
            </w:r>
          </w:p>
        </w:tc>
        <w:tc>
          <w:tcPr>
            <w:tcW w:w="9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едностаен</w:t>
            </w:r>
          </w:p>
        </w:tc>
        <w:tc>
          <w:tcPr>
            <w:tcW w:w="14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45.65</w:t>
            </w:r>
          </w:p>
        </w:tc>
      </w:tr>
    </w:tbl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Дейността по  управлението  на  жилищния фонд се  определя с решения на комисията по чл.11 от Наредба за условията и реда за придобиване, управление и разпореждане с общински жилища на Общински съвет – Никопол.     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По действащите договори за наем на общински жилища към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м. декември  2019 г., годишния приход е в размер на 6 998,62  лв.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Състоянието на общинските апартаменти се е подобрило, тъй като по-голямата част от тях бяха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санирани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. На три апартамента беше направен частичен ремонт от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новонастанените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наематели. Общинските апартаменти са разположени в сгради със смесена собственост-частна и общинска, с преобладаващ съществен дял на частната собственост. В Общината ежегодно постъпват искания за ремонт на общи части   в жилищни блокове,  в които Общината е съсобственик. 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Анализирайки състоянието на този вид общинска собственост се открояват следните: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Рискове и слаби страни</w:t>
      </w:r>
    </w:p>
    <w:p w:rsidR="00840DB2" w:rsidRPr="00E31734" w:rsidRDefault="00840DB2" w:rsidP="00840DB2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ограниченият брой на общинските жилища и невъзможността на Общината </w:t>
      </w:r>
    </w:p>
    <w:p w:rsidR="00840DB2" w:rsidRPr="00E31734" w:rsidRDefault="00840DB2" w:rsidP="00840DB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да задоволи потребностите на нуждаещите се от жилища социално слаби граждани;</w:t>
      </w:r>
    </w:p>
    <w:p w:rsidR="00840DB2" w:rsidRPr="00E31734" w:rsidRDefault="00840DB2" w:rsidP="00840DB2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липса на средства за увеличаване на общинския жилищен фонд;</w:t>
      </w:r>
    </w:p>
    <w:p w:rsidR="00840DB2" w:rsidRPr="00E31734" w:rsidRDefault="00840DB2" w:rsidP="00840DB2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амортизирането на общинските жилища и необходимостта от инвестиции в тях за обновяването им;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DB2" w:rsidRPr="00E31734" w:rsidRDefault="00840DB2" w:rsidP="00840DB2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семействата и лицата, настанени в общинския жилищен фонд, в по-голямата си част са с ниски, непостоянни доходи или без доходи, което забавя плащането на наема;</w:t>
      </w:r>
    </w:p>
    <w:p w:rsidR="00840DB2" w:rsidRPr="00E31734" w:rsidRDefault="00840DB2" w:rsidP="00840DB2">
      <w:pPr>
        <w:tabs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Плюсове и възможности</w:t>
      </w:r>
    </w:p>
    <w:p w:rsidR="00840DB2" w:rsidRPr="00E31734" w:rsidRDefault="00840DB2" w:rsidP="00840DB2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изваждане от общинските жилища на некоректните наематели;</w:t>
      </w:r>
    </w:p>
    <w:p w:rsidR="00840DB2" w:rsidRPr="00E31734" w:rsidRDefault="00840DB2" w:rsidP="00840DB2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да не се настаняват в общински жилища лица без доходи.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E31734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Политиката на Община Никопол по отношение на общинския  жилищен фонд през периода 2020 г. – 2023 г. ще бъде: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1. Използване на възможностите на Закона за общинската собственост за увеличаване на общинския жилищен фонд.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Calibri" w:hAnsi="Times New Roman" w:cs="Times New Roman"/>
          <w:sz w:val="24"/>
          <w:szCs w:val="24"/>
          <w:lang w:eastAsia="bg-BG"/>
        </w:rPr>
        <w:t>2. Засилване на контрола върху наемателите за недопускане на натрупване на несъбираеми вземания по неплатени наеми.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Calibri" w:hAnsi="Times New Roman" w:cs="Times New Roman"/>
          <w:sz w:val="24"/>
          <w:szCs w:val="24"/>
          <w:lang w:eastAsia="bg-BG"/>
        </w:rPr>
        <w:t>3. Поддържане на наличния общински жилищен фонд, чрез реинвестиране на част от събраните средства от наем в съответните жилища.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Calibri" w:hAnsi="Times New Roman" w:cs="Times New Roman"/>
          <w:sz w:val="24"/>
          <w:szCs w:val="24"/>
          <w:lang w:eastAsia="bg-BG"/>
        </w:rPr>
        <w:t>4. Развитие на жилищната политика, насочена към социално слаби граждани.</w:t>
      </w:r>
    </w:p>
    <w:p w:rsidR="00840DB2" w:rsidRPr="00E31734" w:rsidRDefault="00840DB2" w:rsidP="00840DB2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ІV.4. АНАЛИЗ НА ЗЕМЕДЕЛСКИ ЗЕМИ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Към настоящият момент Община Никопол разполага със земеделска земя – общинска собственост в размер на 71 335 дка, разпределена по землища и начин на трайно ползване, посочени в таблицата по-долу.</w:t>
      </w:r>
    </w:p>
    <w:tbl>
      <w:tblPr>
        <w:tblW w:w="11078" w:type="dxa"/>
        <w:tblInd w:w="-7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820"/>
        <w:gridCol w:w="832"/>
        <w:gridCol w:w="912"/>
        <w:gridCol w:w="740"/>
        <w:gridCol w:w="742"/>
        <w:gridCol w:w="1003"/>
        <w:gridCol w:w="751"/>
        <w:gridCol w:w="1003"/>
        <w:gridCol w:w="1006"/>
        <w:gridCol w:w="766"/>
        <w:gridCol w:w="681"/>
        <w:gridCol w:w="820"/>
        <w:gridCol w:w="23"/>
      </w:tblGrid>
      <w:tr w:rsidR="00840DB2" w:rsidRPr="00E31734" w:rsidTr="00F6596F">
        <w:trPr>
          <w:trHeight w:val="810"/>
        </w:trPr>
        <w:tc>
          <w:tcPr>
            <w:tcW w:w="1107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ОБЩИНСКИ ПОЗЕМЛЕН ФОНД ПО ЗЕМЛИЩА И НТП  </w:t>
            </w:r>
          </w:p>
        </w:tc>
      </w:tr>
      <w:tr w:rsidR="00840DB2" w:rsidRPr="00E31734" w:rsidTr="00F6596F">
        <w:trPr>
          <w:gridAfter w:val="1"/>
          <w:wAfter w:w="23" w:type="dxa"/>
          <w:trHeight w:val="57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Ниви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Пасища. мери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Др.</w:t>
            </w:r>
            <w:proofErr w:type="spellStart"/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сел</w:t>
            </w:r>
            <w:proofErr w:type="spellEnd"/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 територии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Гори в ЗЗ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Зелен.</w:t>
            </w:r>
          </w:p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култури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Овощни насаждения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Лозя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Трайни насаждения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Ливади. Използвани ливади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Пасища с храсти. храсти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Друг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</w:t>
            </w:r>
          </w:p>
        </w:tc>
      </w:tr>
      <w:tr w:rsidR="00840DB2" w:rsidRPr="00E31734" w:rsidTr="00F6596F">
        <w:trPr>
          <w:gridAfter w:val="1"/>
          <w:wAfter w:w="23" w:type="dxa"/>
          <w:trHeight w:val="25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40DB2" w:rsidRPr="00E31734" w:rsidTr="00F6596F">
        <w:trPr>
          <w:gridAfter w:val="1"/>
          <w:wAfter w:w="23" w:type="dxa"/>
          <w:trHeight w:val="25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40DB2" w:rsidRPr="00E31734" w:rsidTr="00F6596F">
        <w:trPr>
          <w:gridAfter w:val="1"/>
          <w:wAfter w:w="23" w:type="dxa"/>
          <w:trHeight w:val="27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Никопол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1238.198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2940.116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1150.466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127.387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272.744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138.539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42.701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166.288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6076.439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Въбел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800.980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5055.497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1965.797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1347.244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30.256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588.233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79.162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54.368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148.730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10070.267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Др. войвода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2769.833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2631.159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1982.551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309.148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107.271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28.031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24.693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165.867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341.908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316.826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136.595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8813.882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Евлогиево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39.019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1950.354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31.333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59.003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14.001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883.648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19.704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2997.062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Жернов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190.903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656.213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270.659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95.037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4.579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1217.391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Лозица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163.164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4166.943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733.637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99.968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60.370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68.919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121.374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58.385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128.294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5601.054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Любеново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26.847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3197.024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71.985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120.012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5.017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58.404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25.037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1016.846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4521.172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Муселиево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233.683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2363.068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301.786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7.851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57.171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9.786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349.962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11.893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59.738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3434.938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Черковица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220.216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1218.564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398.208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125.372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3.479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198.110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5.415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2171.468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Новачене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1134.883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7439.371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236.498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28.223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99.010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105.660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87.420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9131.065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Асеново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431.606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1510.576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365.676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38.985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0.849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2347.692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Б. махала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929.640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1729.250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209.443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244.113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3112.446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Дебово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91.596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1387.397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482.152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180.000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101.725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3.857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2246.727</w:t>
            </w:r>
          </w:p>
        </w:tc>
      </w:tr>
      <w:tr w:rsidR="00840DB2" w:rsidRPr="00E31734" w:rsidTr="00F6596F">
        <w:trPr>
          <w:gridAfter w:val="1"/>
          <w:wAfter w:w="23" w:type="dxa"/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Санадиново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2217.676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5385.665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6.419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1232.552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63.053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41.946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5.707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398.272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176.202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65.483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9592.975</w:t>
            </w:r>
          </w:p>
        </w:tc>
      </w:tr>
      <w:tr w:rsidR="00840DB2" w:rsidRPr="00E31734" w:rsidTr="00F6596F">
        <w:trPr>
          <w:gridAfter w:val="1"/>
          <w:wAfter w:w="23" w:type="dxa"/>
          <w:trHeight w:val="56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за общината по НТП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10488.244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41631.197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8206.610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3538.606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247.450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479.724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1190.500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510.649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1516.018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2862.058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663.522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71334.578</w:t>
            </w:r>
          </w:p>
        </w:tc>
      </w:tr>
      <w:tr w:rsidR="00840DB2" w:rsidRPr="00E31734" w:rsidTr="00F6596F">
        <w:trPr>
          <w:gridAfter w:val="1"/>
          <w:wAfter w:w="23" w:type="dxa"/>
          <w:trHeight w:val="87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  <w:r w:rsidRPr="00E317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 измененията и допълненията на ЗСПЗЗ (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. ДВ бр. 14 от 20.02.2015 год.) разпоредбите, уреждащи отдаването под наем или аренда на пасищата, мерите и ливадите – общинска собственост са уредени в правилата за ползване на мерите и пасищата. С изменението на нормативната база е променен редът и начина по-който се отдават под наем или аренда пасищата, мерите и ливадите на собствениците или ползвателите на животновъдни обекти с пасищни селскостопански животни регистрирани в Интегрираната информационна система на БАБХ.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С изготвянето на споразумения между собственици и ползватели на земеделски земи по чл. 37в от ЗСПЗЗ за всяка стопанска година се обхвана реалното ползване на всички земеделски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>земи, като от 2015 година в тях бяха включени и обработваните полски пътища-общинска собственост, което даде правна възможност за сключване на договори за наем и заплащане на наем на общината.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Законът за собствеността и ползването на земеделските земи, дава възможност за доброволно уедряване (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комасация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) на земеделските имоти, при заявено искане от страна на частни собственици и ползватели, Община Никопол ще се включи в процеса.   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Комасацията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по изрично съгласие на собствениците на земеделските имоти в дадено землище или в част от него. Предвидена е  възможност за изработване на планове за уедряване, които ще променят границите на земеделските имоти. Освен това те ще включват и други мерки за устройство на територията, свързани с напояване, инфраструктура и екология.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Сключените многогодишни договори, чрез търгове и конкурси, действащи към настоящия момент, са 127 броя на обща стойност 449 776,49 лв.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Предстои сключване на договорите за стопанската 2019/2020 година, за която очакваните приходи са 145 264,17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от имотите по чл. 37в, ал.16 и 3 679,04 по чл.37в, ал.4 от ЗСПЗЗ.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Горски територии:</w:t>
      </w:r>
    </w:p>
    <w:p w:rsidR="00840DB2" w:rsidRPr="00E31734" w:rsidRDefault="00840DB2" w:rsidP="00840DB2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Предмет на одобрен и влязъл в сила горскостопански план за 2016 г. са горските територии,собственост на Община Никопол, с обща площ 1759,60 ха. От тях възстановена по реда на Закона за възстановяване на собствеността върху горите и земите от горския фонд са 474,60 ха и възстановена по реда на Закона за собствеността и ползването на земеделски земи е 1285,00 ха.</w:t>
      </w:r>
    </w:p>
    <w:p w:rsidR="00840DB2" w:rsidRPr="00E31734" w:rsidRDefault="00840DB2" w:rsidP="00840DB2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Средната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лесистост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за община Никопол е 14,4%</w:t>
      </w:r>
    </w:p>
    <w:p w:rsidR="00840DB2" w:rsidRPr="00E31734" w:rsidRDefault="00840DB2" w:rsidP="00840DB2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Площи,подлежащи на залесяване:</w:t>
      </w:r>
    </w:p>
    <w:p w:rsidR="00840DB2" w:rsidRPr="00E31734" w:rsidRDefault="00840DB2" w:rsidP="00840DB2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43"/>
        <w:gridCol w:w="2380"/>
        <w:gridCol w:w="1645"/>
        <w:gridCol w:w="1692"/>
      </w:tblGrid>
      <w:tr w:rsidR="00840DB2" w:rsidRPr="00E31734" w:rsidTr="00F6596F">
        <w:tc>
          <w:tcPr>
            <w:tcW w:w="1518" w:type="dxa"/>
            <w:shd w:val="clear" w:color="auto" w:fill="BDD6EE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ЗЕМЛИЩЕ</w:t>
            </w:r>
          </w:p>
        </w:tc>
        <w:tc>
          <w:tcPr>
            <w:tcW w:w="2343" w:type="dxa"/>
            <w:shd w:val="clear" w:color="auto" w:fill="BDD6EE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2380" w:type="dxa"/>
            <w:shd w:val="clear" w:color="auto" w:fill="BDD6EE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ОТДЕЛ/ПОДОТДЕЛ</w:t>
            </w:r>
          </w:p>
        </w:tc>
        <w:tc>
          <w:tcPr>
            <w:tcW w:w="1645" w:type="dxa"/>
            <w:shd w:val="clear" w:color="auto" w:fill="BDD6EE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ПЛОЩ/ДКА/</w:t>
            </w:r>
          </w:p>
        </w:tc>
        <w:tc>
          <w:tcPr>
            <w:tcW w:w="1692" w:type="dxa"/>
            <w:shd w:val="clear" w:color="auto" w:fill="BDD6EE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Черковица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80697.91.315/част/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51 „у“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ЛФ 2020 год.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Черковица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80697.91.332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51“у“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7,400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ЛФ 2020 год.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Никопол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51723.94.13/част/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53 „н“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ЛФ 2020 год.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Др.войвода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23193.13.12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119 „р“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25,344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пожарище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Др.войвода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23193.13.13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119 „р“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51,721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пожарище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Др.войвода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23193.14.2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119 „у“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174,000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пожарище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Санадиново</w:t>
            </w: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65320.180.273</w:t>
            </w: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90 „щ“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18,394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</w:rPr>
              <w:t>сечище</w:t>
            </w:r>
          </w:p>
        </w:tc>
      </w:tr>
      <w:tr w:rsidR="00840DB2" w:rsidRPr="00E31734" w:rsidTr="00F6596F">
        <w:tc>
          <w:tcPr>
            <w:tcW w:w="1518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 ПЛОЩ:</w:t>
            </w:r>
          </w:p>
        </w:tc>
        <w:tc>
          <w:tcPr>
            <w:tcW w:w="1645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329,859</w:t>
            </w:r>
          </w:p>
        </w:tc>
        <w:tc>
          <w:tcPr>
            <w:tcW w:w="1692" w:type="dxa"/>
            <w:shd w:val="clear" w:color="auto" w:fill="auto"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DB2" w:rsidRPr="00E31734" w:rsidRDefault="00840DB2" w:rsidP="0084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DB2" w:rsidRPr="00E31734" w:rsidRDefault="00840DB2" w:rsidP="00840DB2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Анализирайки състоянието на този вид общинска собственост се открояват следните: </w:t>
      </w:r>
    </w:p>
    <w:p w:rsidR="00840DB2" w:rsidRPr="00E31734" w:rsidRDefault="00840DB2" w:rsidP="00840DB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Рискове и слаби страни</w:t>
      </w:r>
    </w:p>
    <w:p w:rsidR="00840DB2" w:rsidRPr="00E31734" w:rsidRDefault="00840DB2" w:rsidP="00840DB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приключил процес на актуване на имотите от ОПФ; </w:t>
      </w:r>
    </w:p>
    <w:p w:rsidR="00840DB2" w:rsidRPr="00E31734" w:rsidRDefault="00840DB2" w:rsidP="00840DB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достатъчен брой имоти с НТП пасища, мери и ливади в определени землища за удовлетворяване на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собственици или ползватели на животновъдни обекти с пасищни селскостопански животни;</w:t>
      </w:r>
    </w:p>
    <w:p w:rsidR="00840DB2" w:rsidRPr="00E31734" w:rsidRDefault="00840DB2" w:rsidP="00840DB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 брой маломерни имоти, силно наклонени терени, разпокъсана собственост и обрасли с храстовидна и дървесна растителност, което изисква много средства и усилия за почистването им преди основните обработки;</w:t>
      </w:r>
    </w:p>
    <w:p w:rsidR="00840DB2" w:rsidRPr="00E31734" w:rsidRDefault="00840DB2" w:rsidP="00840DB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достатъчна възможност за контрол на ползванията.</w:t>
      </w:r>
    </w:p>
    <w:p w:rsidR="00840DB2" w:rsidRPr="00E31734" w:rsidRDefault="00840DB2" w:rsidP="00840DB2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Плюсове и  възможности</w:t>
      </w:r>
    </w:p>
    <w:p w:rsidR="00840DB2" w:rsidRPr="00E31734" w:rsidRDefault="00840DB2" w:rsidP="00840DB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субсидирането на селскостопанското производство увеличава възможността за реализиране на приходи;</w:t>
      </w:r>
    </w:p>
    <w:p w:rsidR="00840DB2" w:rsidRPr="00E31734" w:rsidRDefault="00840DB2" w:rsidP="00840DB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предоставяне на земи с НТП пасища, мери и ливади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>на собственици 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40DB2" w:rsidRPr="00E31734" w:rsidRDefault="00840DB2" w:rsidP="00840DB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продължаване процеса на актуване на имотите от ОПФ;</w:t>
      </w:r>
    </w:p>
    <w:p w:rsidR="00840DB2" w:rsidRPr="00E31734" w:rsidRDefault="00840DB2" w:rsidP="00840DB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обединяване (уедряване) на земеделски земи;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Политиката на Община Никопол по отношение на земите от общинския поземлен фонд през периода 2019 г. – 2023 г. ще бъде:</w:t>
      </w: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Активно поведение на Общината за използване на ресурса на ОПФ за развитие на традиционни земеделски дейности, чрез предоставянето му под аренда или наем.</w:t>
      </w: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Контрол върху предоставените под наем и аренда земи от ОПФ по отношение на тяхното фактическо ползване и за целите, за които са предоставени.</w:t>
      </w: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Преглед на имотите от ОПФ</w:t>
      </w:r>
      <w:r w:rsidRPr="00E317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и определянето на маломерни имоти, които да се предоставят под наем за срок от една година без търг или конкурс. </w:t>
      </w: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Ускоряване на процеса на актуване  /и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</w:t>
      </w: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туване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/  на имотите от ОПФ.</w:t>
      </w:r>
    </w:p>
    <w:p w:rsidR="00840DB2" w:rsidRPr="00E31734" w:rsidRDefault="00840DB2" w:rsidP="00840D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 доказан необходимост използване на земи от ОПФ за осигуряване на инфраструктурни проекти на Община Никопол.</w:t>
      </w:r>
    </w:p>
    <w:p w:rsidR="00840DB2" w:rsidRPr="00E31734" w:rsidRDefault="00840DB2" w:rsidP="00840DB2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ІV.5.АНАЛИЗ НА ИЗВЪРШЕНИТЕ РАЗПОРЕДИТЕЛНИ СДЕЛКИ 2016-2019 год.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Разпореждането с общинска собственост в Община Никопол се извършва след Решение на Общински съвет по реда на ЗОС и Наредбата по чл.8, ал. 2 от ЗОС.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Разпоредителните сделки извършени през периода 2016-2019 година са представени в следната таблицата: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445"/>
        <w:gridCol w:w="1351"/>
        <w:gridCol w:w="1079"/>
        <w:gridCol w:w="1077"/>
        <w:gridCol w:w="1771"/>
      </w:tblGrid>
      <w:tr w:rsidR="00840DB2" w:rsidRPr="00E31734" w:rsidTr="00F6596F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на имота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на сделката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Начин на разпореждане</w:t>
            </w:r>
          </w:p>
        </w:tc>
      </w:tr>
      <w:tr w:rsidR="00840DB2" w:rsidRPr="00E31734" w:rsidTr="00F6596F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Публичен търг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Публично оповестен конкурс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Решение на </w:t>
            </w:r>
            <w:proofErr w:type="spellStart"/>
            <w:r w:rsidRPr="00E317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</w:t>
            </w:r>
            <w:proofErr w:type="spellEnd"/>
          </w:p>
        </w:tc>
      </w:tr>
      <w:tr w:rsidR="00840DB2" w:rsidRPr="00E31734" w:rsidTr="00F6596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Застроен УПИ VIII, кв.31 с.Муселиево, заедно с построените в него сгради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12 800.00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74/27.04.2016 г.</w:t>
            </w:r>
          </w:p>
        </w:tc>
      </w:tr>
      <w:tr w:rsidR="00840DB2" w:rsidRPr="00E31734" w:rsidTr="00F6596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Сграда "Автоспирка" 18 кв.м. в УПИ І, кв.180 с.Дебово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655.00 лв. или 786.00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 с ДДС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73/27.04.2016 г.</w:t>
            </w:r>
          </w:p>
        </w:tc>
      </w:tr>
      <w:tr w:rsidR="00840DB2" w:rsidRPr="00E31734" w:rsidTr="00F6596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ПИ № 067019 - нива с площ 52.000 дка, с.Новачене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46 123.45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77/27.04.2016 г.</w:t>
            </w:r>
          </w:p>
        </w:tc>
      </w:tr>
      <w:tr w:rsidR="00840DB2" w:rsidRPr="00E31734" w:rsidTr="00F6596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Сграда "Автоспирка" с площ от 20.66 кв.м. в УПИ II, КВ.1а в с.Асеново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1230.00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106/27.07.2016 г.</w:t>
            </w:r>
          </w:p>
        </w:tc>
      </w:tr>
      <w:tr w:rsidR="00840DB2" w:rsidRPr="00E31734" w:rsidTr="00F6596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Обект с идентификатор № 51723.500.12.1.21  с площ от 12.90 кв.м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 адрес гр.Никопол, ул."Ал.Стамбол</w:t>
            </w: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ийски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3 440.00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99/29.06.2016 г.</w:t>
            </w:r>
          </w:p>
        </w:tc>
      </w:tr>
      <w:tr w:rsidR="00840DB2" w:rsidRPr="00E31734" w:rsidTr="00F6596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Застроен УПИ II -240 в кв.1  и построена сграда  с площ от 130 кв.м на един етаж в с.Бацова махала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16 660.00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222/27.04.2017 г.</w:t>
            </w:r>
          </w:p>
        </w:tc>
      </w:tr>
      <w:tr w:rsidR="00840DB2" w:rsidRPr="00E31734" w:rsidTr="00F6596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Сграда "Автоспирка" 8 кв.м. в кв.11а с.Новачене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1 190.00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223/27.04.2017 г.</w:t>
            </w:r>
          </w:p>
        </w:tc>
      </w:tr>
      <w:tr w:rsidR="00840DB2" w:rsidRPr="00E31734" w:rsidTr="00F6596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ПИ № 401037  - Ведомствен път с.Асеново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500.00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261/26.10.2017 г.</w:t>
            </w:r>
          </w:p>
        </w:tc>
      </w:tr>
      <w:tr w:rsidR="00840DB2" w:rsidRPr="00E31734" w:rsidTr="00F6596F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Застроен ПИ 68 с площ 4 875.31 кв.м. , с.Въбел, заедно със сграда 441 кв.м.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52 135.76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255/28.09.2017 г</w:t>
            </w:r>
          </w:p>
        </w:tc>
      </w:tr>
      <w:tr w:rsidR="00840DB2" w:rsidRPr="00E31734" w:rsidTr="00F6596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Застроен УПИ IX-458 в кв.31 с.Муселиево, заедно със сграда с площ 120 кв.м.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 xml:space="preserve">11 200.00 </w:t>
            </w:r>
            <w:proofErr w:type="spellStart"/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1734">
              <w:rPr>
                <w:rFonts w:ascii="Arial" w:eastAsia="Times New Roman" w:hAnsi="Arial" w:cs="Arial"/>
                <w:sz w:val="18"/>
                <w:szCs w:val="18"/>
              </w:rPr>
              <w:t>486/18.09.2019 г.</w:t>
            </w:r>
          </w:p>
        </w:tc>
      </w:tr>
    </w:tbl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Постъпленията от продажби  варират през години в зависимост от пазарната стойност на обектите, търсенето и динамиката на цените на пазара на имоти.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>Община Никопол не разполага с атрактивни имоти, което силно ограничава приходите от продажба на общинска собственост.</w:t>
      </w:r>
    </w:p>
    <w:p w:rsidR="00840DB2" w:rsidRPr="00E31734" w:rsidRDefault="00840DB2" w:rsidP="00840DB2">
      <w:pPr>
        <w:spacing w:after="0" w:line="240" w:lineRule="auto"/>
        <w:ind w:right="-648"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>ІV.6. АНАЛИЗ НА ПРИХОДИТЕ ОТ  ПРЕДОСТАВЯНЕ ПОД НАЕМ НА ОБЩИНСКА СОБСТВЕНОСТ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206"/>
        <w:gridCol w:w="1842"/>
      </w:tblGrid>
      <w:tr w:rsidR="00840DB2" w:rsidRPr="00E31734" w:rsidTr="00F659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Приходи от управление и разпореждане с имоти-общинска собственост /по вид/: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СУМА /ЛВ./</w:t>
            </w:r>
          </w:p>
        </w:tc>
      </w:tr>
      <w:tr w:rsidR="00840DB2" w:rsidRPr="00E31734" w:rsidTr="00F659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жилищни и нежилищни имоти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DB2" w:rsidRPr="00E31734" w:rsidTr="00F659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840D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жилищни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6 998,62</w:t>
            </w:r>
          </w:p>
        </w:tc>
      </w:tr>
      <w:tr w:rsidR="00840DB2" w:rsidRPr="00E31734" w:rsidTr="00F659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-     нежилищни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37 105,97</w:t>
            </w:r>
          </w:p>
        </w:tc>
      </w:tr>
      <w:tr w:rsidR="00840DB2" w:rsidRPr="00E31734" w:rsidTr="00F6596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земя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596 270,43</w:t>
            </w:r>
          </w:p>
        </w:tc>
      </w:tr>
      <w:tr w:rsidR="00840DB2" w:rsidRPr="00E31734" w:rsidTr="00F6596F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пазари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2 077,20</w:t>
            </w:r>
          </w:p>
        </w:tc>
      </w:tr>
      <w:tr w:rsidR="00840DB2" w:rsidRPr="00E31734" w:rsidTr="00F6596F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 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2" w:rsidRPr="00E31734" w:rsidRDefault="00840DB2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31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642 452,22</w:t>
            </w:r>
          </w:p>
        </w:tc>
      </w:tr>
    </w:tbl>
    <w:p w:rsidR="00840DB2" w:rsidRPr="00E31734" w:rsidRDefault="00840DB2" w:rsidP="00840DB2">
      <w:p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От 2020 г. предоставяне на помещения за ползване на политическите партии ще бъде безвъзмездно, на основание изменения в  чл. 14, ал. 4  от ЗОС.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V. НУЖДИТЕ НА ОБЩИНАТА ОТ НОВИ ИМОТИ И СПОСОБИ ЗА ТЯХНОТО ПРИДОБИВАНЕ.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Конкретните нужди от придобиването на нови имоти и способите за тяхното придобиване за всяка година  ще бъдат отразени в Годишните програми за управление и разпореждане с общинска собственост за съответната финансова година. Те ще бъдат съобразени с нуждите от изграждане на инфраструктурни проекти, ново строителство, проекти по оперативни програми.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Способите за придобиване на нови имоти от Общината са чрез: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- ново строителство;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закупуване на имоти;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безвъзмездно предоставяне на общината на имоти държавна собственост;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- дарения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- реализиране на публично-частни партньорства ;</w:t>
      </w:r>
    </w:p>
    <w:p w:rsidR="00840DB2" w:rsidRPr="00E31734" w:rsidRDefault="00840DB2" w:rsidP="00840DB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VІ. РЕАЛИЗИРАНИ ОБЕКТИ –  ОБЩИНСКА СОБСТВЕНОСТ ПО ПРОЕКТИ И ОПЕРАТИВНИ ПРОГРАМИ ЗА ПЕРИОДА 2016 -2019 Г. </w:t>
      </w:r>
    </w:p>
    <w:p w:rsidR="00840DB2" w:rsidRPr="00E31734" w:rsidRDefault="00840DB2" w:rsidP="00840DB2">
      <w:pPr>
        <w:tabs>
          <w:tab w:val="left" w:pos="0"/>
        </w:tabs>
        <w:snapToGrid w:val="0"/>
        <w:spacing w:after="0" w:line="240" w:lineRule="auto"/>
        <w:ind w:right="11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sz w:val="24"/>
          <w:szCs w:val="24"/>
        </w:rPr>
        <w:tab/>
        <w:t xml:space="preserve">По оперативни програми и проекти за периода 2016 г.-2019 г. бяха усвоени средства от Европейските фондове, като бяха вложени и средства на Общината за реализиране на 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обекти – общинска собственост, които подобриха значително общинската инфраструктура и благосъстоянието на населението. </w:t>
      </w:r>
    </w:p>
    <w:p w:rsidR="00840DB2" w:rsidRPr="00E31734" w:rsidRDefault="00840DB2" w:rsidP="0084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VІ.1 Реализирани  обекти – общинска собственост по европейски програми и проекти: </w:t>
      </w:r>
    </w:p>
    <w:p w:rsidR="00840DB2" w:rsidRPr="00E31734" w:rsidRDefault="00840DB2" w:rsidP="00840DB2">
      <w:pPr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"Основен ремонт и реконструкция на бивша сграда "Дом на офицера" за 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"Многофункционален културно-исторически експозиционен комплекс" -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Никoпол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>", в кв.39 по регулационен план - пи с идентификатор 51723.500.563, гр.Никопол, ул.Васил Левски №51, етап 1" по проект "Красива България";</w:t>
      </w:r>
    </w:p>
    <w:p w:rsidR="00840DB2" w:rsidRPr="00E31734" w:rsidRDefault="00840DB2" w:rsidP="00840DB2">
      <w:pPr>
        <w:numPr>
          <w:ilvl w:val="0"/>
          <w:numId w:val="20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"Реконструкция и рехабилитация на общински път PVN 3123 - / III - 304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, Трънчовица - Новачене / - Бацова Махала - Граница общ. (Никопол - Плевен) - Славяново/ PVN 2145/" по проект: I - TEN: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tertiary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nodes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Turnu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Magurele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Nikopole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connection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 TEN - T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infrastructure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", финансиран по Програма INTERREG VA Румъния - България и национално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</w:rPr>
        <w:t>съфинансиране</w:t>
      </w:r>
      <w:proofErr w:type="spellEnd"/>
      <w:r w:rsidRPr="00E31734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840DB2" w:rsidRPr="00E31734" w:rsidRDefault="00840DB2" w:rsidP="00840DB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VІ.2. </w:t>
      </w: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Реализирани  обекти – общинска собственост </w:t>
      </w:r>
      <w:r w:rsidRPr="00E317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областта на строителството за изграждане на нови обекти, основни и текущи ремонти на сгради и на техническа инфраструктура, чрез ежегодната си капиталовата програма към общинския бюджет.</w:t>
      </w:r>
    </w:p>
    <w:p w:rsidR="00840DB2" w:rsidRPr="00E31734" w:rsidRDefault="00840DB2" w:rsidP="00840DB2">
      <w:pPr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Развитие  на транспортната инфраструктура - </w:t>
      </w: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ежегодно  в  програмата  за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капитално строителство в бюджета на община Никопол се залагат средства и изпълняват дейности по рехабилитация на общинската пътна мрежа. Целта на изпълнение на строително-ремонтни дейности е подобряване на транспортно-експлоатационните качества и </w:t>
      </w:r>
      <w:proofErr w:type="spellStart"/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173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способността на настилката по общинската пътна мрежа и възстановяване на компрометирани участъци на асфалтови, пътни настилки, така че да се осигури необходимата безопасност на движение и добро отводняване при тяхната експлоатация чрез т.н. превантивното  и текущо поддържане.</w:t>
      </w:r>
    </w:p>
    <w:p w:rsidR="00840DB2" w:rsidRPr="00E31734" w:rsidRDefault="00840DB2" w:rsidP="00840D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 xml:space="preserve">Изграждане, основни и текущи ремонти на улици в населените места на </w:t>
      </w:r>
    </w:p>
    <w:p w:rsidR="00840DB2" w:rsidRPr="00E31734" w:rsidRDefault="00840DB2" w:rsidP="008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територията на община Никопол-</w:t>
      </w:r>
      <w:r w:rsidRPr="00E31734">
        <w:rPr>
          <w:rFonts w:ascii="Times New Roman" w:eastAsia="Times New Roman" w:hAnsi="Times New Roman" w:cs="Times New Roman"/>
          <w:sz w:val="24"/>
          <w:szCs w:val="24"/>
        </w:rPr>
        <w:t xml:space="preserve">предвид дългия период на нерегулярно провеждане на ремонти по уличната мрежа на населените места, както и липсата на извършвани такива мероприятия в част от тях, е довело до много тежко техническо състоянието на настилките по улиците в населените места на територията на общината.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VІІ. БЪДЕЩИ ПРОЕКТИ ЗА ОБЩИНСКИ ИМОТИ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Общинската собственост е основен източник на финансови приходи, които за Община Никопол, не са достатъчни за поддръжка и  ремонт на </w:t>
      </w:r>
      <w:proofErr w:type="spellStart"/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сградния</w:t>
      </w:r>
      <w:proofErr w:type="spellEnd"/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фонд, пътната мрежа и инфраструктурата на общината. Ето защо е необходимо общината да търси възможности за външно финансиране по линия на различни европейски програми и проекти. </w:t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Конкретните обекти, предмет на проектиране, ще бъдат уточнени в годишните програми за управление и разпореждане с имоти общинска собственост и включени в бюджетите за съответните години.</w:t>
      </w:r>
      <w:r w:rsidRPr="00E3173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</w:p>
    <w:p w:rsidR="00840DB2" w:rsidRPr="00E31734" w:rsidRDefault="00840DB2" w:rsidP="00840DB2">
      <w:pPr>
        <w:autoSpaceDE w:val="0"/>
        <w:autoSpaceDN w:val="0"/>
        <w:spacing w:after="0" w:line="240" w:lineRule="auto"/>
        <w:ind w:right="-64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VІІІ. ЗАКЛЮЧЕНИЕ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7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Пълното идентифициране на обема и анализа на състоянието на общинската собственост, е основание за взимане </w:t>
      </w:r>
      <w:r w:rsidRPr="00E317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управленски решения и предприемане на действия по п</w:t>
      </w:r>
      <w:r w:rsidRPr="00E317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ридобиване, управление и разпореждане с общинското имущество.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Оптимизацията на действията по управление на общинската собственост гарантират устойчивост на развитието на общината.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Разпореждането с общинско имущество, като краен резултат трябва да е съобразено с целите за развитие на общината, като цяло - подобряване на настоящата и изграждане на нова инфраструктура във всички населени места в общината, осигуряване на устойчиво развитие, подобряване селищната среда, създаване на условия за бизнес, култура, спорт, отдих, туризъм и повишаване на сигурността.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По своята същност, стратегията е отворен документ и може да търпи изменения в целите и приоритетите си, за периода на действието си, в зависимост от състоянието и възможностите на </w:t>
      </w:r>
      <w:r w:rsidRPr="00E31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общината. 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Стратегията е основа за приемане на годишна програма за управление и </w:t>
      </w:r>
      <w:r w:rsidRPr="00E317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разпореждане с общинска собственост за съответната финансова година.</w:t>
      </w:r>
    </w:p>
    <w:p w:rsidR="00840DB2" w:rsidRPr="00E31734" w:rsidRDefault="00840DB2" w:rsidP="00840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Стратегията се приема на основание чл.8, ал.8 от Закона за общинската собственост и чл.21, </w:t>
      </w:r>
      <w:r w:rsidRPr="00E317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ал.1,т.12 от ЗМСМА.</w:t>
      </w:r>
    </w:p>
    <w:p w:rsidR="003A47F3" w:rsidRDefault="00840DB2" w:rsidP="00840DB2"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Настоящата 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атегия е приета с Решение №46./29.01.</w:t>
      </w:r>
      <w:r w:rsidRPr="00E31734">
        <w:rPr>
          <w:rFonts w:ascii="Times New Roman" w:eastAsia="Times New Roman" w:hAnsi="Times New Roman" w:cs="Times New Roman"/>
          <w:b/>
          <w:sz w:val="24"/>
          <w:szCs w:val="24"/>
        </w:rPr>
        <w:t>2020 г. на Общински съвет-Никопол.</w:t>
      </w:r>
      <w:bookmarkStart w:id="0" w:name="_GoBack"/>
      <w:bookmarkEnd w:id="0"/>
    </w:p>
    <w:sectPr w:rsidR="003A47F3" w:rsidSect="00BD4D5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B 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D4C84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C6AC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069B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064CD"/>
    <w:multiLevelType w:val="hybridMultilevel"/>
    <w:tmpl w:val="8F7888B2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755DC6"/>
    <w:multiLevelType w:val="hybridMultilevel"/>
    <w:tmpl w:val="5E181C6E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886C48"/>
    <w:multiLevelType w:val="hybridMultilevel"/>
    <w:tmpl w:val="9F284CA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57A7D"/>
    <w:multiLevelType w:val="hybridMultilevel"/>
    <w:tmpl w:val="D6CE37C6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9992E84"/>
    <w:multiLevelType w:val="hybridMultilevel"/>
    <w:tmpl w:val="8FFEA8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B1EB1"/>
    <w:multiLevelType w:val="hybridMultilevel"/>
    <w:tmpl w:val="5BCCFD0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23621C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907433"/>
    <w:multiLevelType w:val="hybridMultilevel"/>
    <w:tmpl w:val="563219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99C74B6"/>
    <w:multiLevelType w:val="hybridMultilevel"/>
    <w:tmpl w:val="6CD218C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FE6D00"/>
    <w:multiLevelType w:val="hybridMultilevel"/>
    <w:tmpl w:val="4A32D05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A06F5F"/>
    <w:multiLevelType w:val="hybridMultilevel"/>
    <w:tmpl w:val="AFC22A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E96650"/>
    <w:multiLevelType w:val="hybridMultilevel"/>
    <w:tmpl w:val="99582F0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32843"/>
    <w:multiLevelType w:val="hybridMultilevel"/>
    <w:tmpl w:val="96969A06"/>
    <w:lvl w:ilvl="0" w:tplc="A64E8E4C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CCA"/>
    <w:multiLevelType w:val="hybridMultilevel"/>
    <w:tmpl w:val="8FCE7C6E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A603D9"/>
    <w:multiLevelType w:val="hybridMultilevel"/>
    <w:tmpl w:val="7A34BB9A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65A4601"/>
    <w:multiLevelType w:val="hybridMultilevel"/>
    <w:tmpl w:val="050E6AA6"/>
    <w:lvl w:ilvl="0" w:tplc="CEC606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73357BF"/>
    <w:multiLevelType w:val="hybridMultilevel"/>
    <w:tmpl w:val="111EEB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D"/>
    <w:multiLevelType w:val="hybridMultilevel"/>
    <w:tmpl w:val="8E222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025E"/>
    <w:multiLevelType w:val="hybridMultilevel"/>
    <w:tmpl w:val="02469F22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8"/>
    <w:rsid w:val="003A47F3"/>
    <w:rsid w:val="00497038"/>
    <w:rsid w:val="00840DB2"/>
    <w:rsid w:val="00B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2"/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 w:cs="Times New Roman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2"/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 w:cs="Times New Roman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3</cp:revision>
  <dcterms:created xsi:type="dcterms:W3CDTF">2021-10-01T08:02:00Z</dcterms:created>
  <dcterms:modified xsi:type="dcterms:W3CDTF">2021-10-01T08:09:00Z</dcterms:modified>
</cp:coreProperties>
</file>